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9B58" w14:textId="3E569D0D" w:rsidR="00076C17" w:rsidRDefault="00B41A9C" w:rsidP="00076C17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2F80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noProof/>
          <w:color w:val="002F80"/>
          <w:spacing w:val="5"/>
          <w:sz w:val="72"/>
          <w:szCs w:val="52"/>
        </w:rPr>
        <w:drawing>
          <wp:anchor distT="0" distB="0" distL="114300" distR="114300" simplePos="0" relativeHeight="251658240" behindDoc="0" locked="0" layoutInCell="1" allowOverlap="1" wp14:anchorId="365DC461" wp14:editId="5E37DC98">
            <wp:simplePos x="0" y="0"/>
            <wp:positionH relativeFrom="margin">
              <wp:posOffset>2145562</wp:posOffset>
            </wp:positionH>
            <wp:positionV relativeFrom="paragraph">
              <wp:posOffset>0</wp:posOffset>
            </wp:positionV>
            <wp:extent cx="3843410" cy="22288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X 2016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84" cy="223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59163" w14:textId="3F9E7E0D" w:rsidR="00076C17" w:rsidRDefault="00076C17" w:rsidP="00076C17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2F80"/>
          <w:spacing w:val="5"/>
          <w:sz w:val="72"/>
          <w:szCs w:val="52"/>
        </w:rPr>
      </w:pPr>
    </w:p>
    <w:p w14:paraId="755828AF" w14:textId="50227C85" w:rsidR="00076C17" w:rsidRDefault="00076C17" w:rsidP="00076C17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2F80"/>
          <w:spacing w:val="5"/>
          <w:sz w:val="72"/>
          <w:szCs w:val="52"/>
        </w:rPr>
      </w:pPr>
    </w:p>
    <w:p w14:paraId="7C3004B8" w14:textId="77777777" w:rsidR="00B41A9C" w:rsidRDefault="00B41A9C" w:rsidP="00076C17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69C92" w14:textId="77777777" w:rsidR="00D15B7A" w:rsidRDefault="00D15B7A" w:rsidP="00076C17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416E7" w14:textId="6C4A5F1E" w:rsidR="00CE17A0" w:rsidRPr="00B47C7F" w:rsidRDefault="00CE17A0" w:rsidP="00076C17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0" w:after="300"/>
        <w:contextualSpacing/>
        <w:jc w:val="left"/>
        <w:outlineLvl w:val="9"/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C7F"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CATEX</w:t>
      </w:r>
      <w:r w:rsidR="00D50DC9" w:rsidRPr="00B47C7F"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 w:rsidRPr="00B47C7F"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6F9FDE" w14:textId="77777083" w:rsidR="00A43A33" w:rsidRPr="00B47C7F" w:rsidRDefault="0052333A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ajorEastAsia" w:hAnsi="Times New Roman" w:cstheme="majorBidi"/>
          <w:bCs w:val="0"/>
          <w:color w:val="002F80"/>
          <w:spacing w:val="5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Drill</w:t>
      </w:r>
      <w:bookmarkStart w:id="0" w:name="_GoBack"/>
      <w:bookmarkEnd w:id="0"/>
    </w:p>
    <w:p w14:paraId="089D929F" w14:textId="62DBB108" w:rsidR="00CE6D68" w:rsidRDefault="00892683" w:rsidP="00076C17">
      <w:pPr>
        <w:pStyle w:val="Subtitle"/>
        <w:rPr>
          <w:rFonts w:cs="Arial"/>
          <w:sz w:val="32"/>
          <w:szCs w:val="32"/>
        </w:rPr>
      </w:pPr>
      <w:r>
        <w:t>Read-Ahead</w:t>
      </w:r>
      <w:r w:rsidR="00076C17">
        <w:t xml:space="preserve"> (</w:t>
      </w:r>
      <w:r w:rsidR="00076C17">
        <w:rPr>
          <w:rFonts w:cs="Arial"/>
          <w:sz w:val="32"/>
          <w:szCs w:val="32"/>
        </w:rPr>
        <w:t xml:space="preserve">Revised </w:t>
      </w:r>
      <w:r>
        <w:rPr>
          <w:rFonts w:cs="Arial"/>
          <w:sz w:val="32"/>
          <w:szCs w:val="32"/>
        </w:rPr>
        <w:t xml:space="preserve">June </w:t>
      </w:r>
      <w:r w:rsidR="00B41A9C">
        <w:rPr>
          <w:rFonts w:cs="Arial"/>
          <w:sz w:val="32"/>
          <w:szCs w:val="32"/>
        </w:rPr>
        <w:t>30</w:t>
      </w:r>
      <w:r w:rsidR="00CE17A0">
        <w:rPr>
          <w:rFonts w:cs="Arial"/>
          <w:sz w:val="32"/>
          <w:szCs w:val="32"/>
        </w:rPr>
        <w:t>, 2016</w:t>
      </w:r>
      <w:r w:rsidR="00076C17">
        <w:rPr>
          <w:rFonts w:cs="Arial"/>
          <w:sz w:val="32"/>
          <w:szCs w:val="32"/>
        </w:rPr>
        <w:t>)</w:t>
      </w:r>
    </w:p>
    <w:p w14:paraId="48959275" w14:textId="14903856" w:rsidR="00CD45D0" w:rsidRDefault="00CD45D0">
      <w:pPr>
        <w:spacing w:after="200" w:line="276" w:lineRule="auto"/>
      </w:pPr>
    </w:p>
    <w:p w14:paraId="51828A6F" w14:textId="136FEC36" w:rsidR="00076C17" w:rsidRPr="00B47C7F" w:rsidRDefault="00892683" w:rsidP="00CE6D68">
      <w:pPr>
        <w:widowControl w:val="0"/>
        <w:autoSpaceDE w:val="0"/>
        <w:autoSpaceDN w:val="0"/>
        <w:adjustRightInd w:val="0"/>
        <w:spacing w:before="120"/>
      </w:pPr>
      <w:r w:rsidRPr="00B47C7F">
        <w:t>This</w:t>
      </w:r>
      <w:r w:rsidR="008D6580" w:rsidRPr="00B47C7F">
        <w:t xml:space="preserve"> </w:t>
      </w:r>
      <w:r w:rsidR="00B41A9C" w:rsidRPr="00B47C7F">
        <w:t xml:space="preserve">Exercise </w:t>
      </w:r>
      <w:r w:rsidRPr="00B47C7F">
        <w:t>Read-Ahead</w:t>
      </w:r>
      <w:r w:rsidR="008D6580" w:rsidRPr="00B47C7F">
        <w:t xml:space="preserve"> </w:t>
      </w:r>
      <w:r w:rsidRPr="00B47C7F">
        <w:t xml:space="preserve">provides </w:t>
      </w:r>
      <w:r w:rsidR="008D6580" w:rsidRPr="00B47C7F">
        <w:t xml:space="preserve">participating </w:t>
      </w:r>
      <w:r w:rsidRPr="00B47C7F">
        <w:t xml:space="preserve">agencies and </w:t>
      </w:r>
      <w:r w:rsidR="008D6580" w:rsidRPr="00B47C7F">
        <w:t xml:space="preserve">organizations </w:t>
      </w:r>
      <w:r w:rsidRPr="00B47C7F">
        <w:t xml:space="preserve">with </w:t>
      </w:r>
      <w:r w:rsidR="00735C47" w:rsidRPr="00B47C7F">
        <w:t>informatio</w:t>
      </w:r>
      <w:r w:rsidR="00076C17" w:rsidRPr="00B47C7F">
        <w:t xml:space="preserve">n needed to register and participate in the </w:t>
      </w:r>
      <w:r w:rsidR="000824FA" w:rsidRPr="00B47C7F">
        <w:t>Catastrophic Exercise Series (</w:t>
      </w:r>
      <w:r w:rsidR="00735C47" w:rsidRPr="00B47C7F">
        <w:t>CATEX</w:t>
      </w:r>
      <w:r w:rsidR="000824FA" w:rsidRPr="00B47C7F">
        <w:t>)</w:t>
      </w:r>
      <w:r w:rsidR="00735C47" w:rsidRPr="00B47C7F">
        <w:t xml:space="preserve"> 2016 scheduled for August 10, 2016 from 9:30 a.m. to 3:00 p.m. </w:t>
      </w:r>
    </w:p>
    <w:p w14:paraId="0FD4FE1C" w14:textId="05DC34EC" w:rsidR="00076C17" w:rsidRPr="00B47C7F" w:rsidRDefault="00B47C7F" w:rsidP="00CE6D68">
      <w:pPr>
        <w:widowControl w:val="0"/>
        <w:autoSpaceDE w:val="0"/>
        <w:autoSpaceDN w:val="0"/>
        <w:adjustRightInd w:val="0"/>
        <w:spacing w:before="120"/>
      </w:pPr>
      <w:r>
        <w:t>The contents include:</w:t>
      </w:r>
      <w:r w:rsidR="00735C47" w:rsidRPr="00B47C7F">
        <w:t xml:space="preserve"> </w:t>
      </w:r>
    </w:p>
    <w:p w14:paraId="41BA4133" w14:textId="56B6E927" w:rsidR="00076C17" w:rsidRPr="00B47C7F" w:rsidRDefault="00B47C7F" w:rsidP="00076C17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92683" w:rsidRPr="00B47C7F">
        <w:rPr>
          <w:rFonts w:ascii="Times New Roman" w:hAnsi="Times New Roman" w:cs="Times New Roman"/>
        </w:rPr>
        <w:t xml:space="preserve">verview of </w:t>
      </w:r>
      <w:r w:rsidR="00D50DC9" w:rsidRPr="00B47C7F">
        <w:rPr>
          <w:rFonts w:ascii="Times New Roman" w:hAnsi="Times New Roman" w:cs="Times New Roman"/>
        </w:rPr>
        <w:t>CATEX 2016</w:t>
      </w:r>
      <w:r w:rsidR="00B41A9C" w:rsidRPr="00B47C7F">
        <w:rPr>
          <w:rFonts w:ascii="Times New Roman" w:hAnsi="Times New Roman" w:cs="Times New Roman"/>
        </w:rPr>
        <w:t xml:space="preserve"> email based functional exercise</w:t>
      </w:r>
      <w:r w:rsidR="00D15B7A">
        <w:rPr>
          <w:rFonts w:ascii="Times New Roman" w:hAnsi="Times New Roman" w:cs="Times New Roman"/>
        </w:rPr>
        <w:t>.</w:t>
      </w:r>
    </w:p>
    <w:p w14:paraId="77D1E35C" w14:textId="35612B22" w:rsidR="00076C17" w:rsidRPr="00B47C7F" w:rsidRDefault="00B47C7F" w:rsidP="00076C17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C4146" w:rsidRPr="00B47C7F">
        <w:rPr>
          <w:rFonts w:ascii="Times New Roman" w:hAnsi="Times New Roman" w:cs="Times New Roman"/>
        </w:rPr>
        <w:t xml:space="preserve">reliminary </w:t>
      </w:r>
      <w:r w:rsidR="00D50DC9" w:rsidRPr="00B47C7F">
        <w:rPr>
          <w:rFonts w:ascii="Times New Roman" w:hAnsi="Times New Roman" w:cs="Times New Roman"/>
        </w:rPr>
        <w:t xml:space="preserve">exercise </w:t>
      </w:r>
      <w:r w:rsidR="006C4146" w:rsidRPr="00B47C7F">
        <w:rPr>
          <w:rFonts w:ascii="Times New Roman" w:hAnsi="Times New Roman" w:cs="Times New Roman"/>
        </w:rPr>
        <w:t>schedule</w:t>
      </w:r>
      <w:r w:rsidR="00D15B7A">
        <w:rPr>
          <w:rFonts w:ascii="Times New Roman" w:hAnsi="Times New Roman" w:cs="Times New Roman"/>
        </w:rPr>
        <w:t>.</w:t>
      </w:r>
    </w:p>
    <w:p w14:paraId="3FB731A5" w14:textId="6BC098E8" w:rsidR="00735C47" w:rsidRPr="00B47C7F" w:rsidRDefault="00B47C7F" w:rsidP="00076C17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50DC9" w:rsidRPr="00B47C7F">
        <w:rPr>
          <w:rFonts w:ascii="Times New Roman" w:hAnsi="Times New Roman" w:cs="Times New Roman"/>
        </w:rPr>
        <w:t>eferences to tools and guidelines that will be u</w:t>
      </w:r>
      <w:r w:rsidR="00076C17" w:rsidRPr="00B47C7F">
        <w:rPr>
          <w:rFonts w:ascii="Times New Roman" w:hAnsi="Times New Roman" w:cs="Times New Roman"/>
        </w:rPr>
        <w:t>tilized during exercise conduct</w:t>
      </w:r>
      <w:r w:rsidR="00D15B7A">
        <w:rPr>
          <w:rFonts w:ascii="Times New Roman" w:hAnsi="Times New Roman" w:cs="Times New Roman"/>
        </w:rPr>
        <w:t>.</w:t>
      </w:r>
    </w:p>
    <w:p w14:paraId="3D7437B3" w14:textId="374B7410" w:rsidR="006712F1" w:rsidRPr="00B47C7F" w:rsidRDefault="006712F1" w:rsidP="00CE6D68">
      <w:pPr>
        <w:widowControl w:val="0"/>
        <w:autoSpaceDE w:val="0"/>
        <w:autoSpaceDN w:val="0"/>
        <w:adjustRightInd w:val="0"/>
        <w:spacing w:before="120"/>
      </w:pPr>
      <w:r w:rsidRPr="00B47C7F">
        <w:t xml:space="preserve">Invitees are requested to follow </w:t>
      </w:r>
      <w:r w:rsidR="00A56F37" w:rsidRPr="00B47C7F">
        <w:t xml:space="preserve">enclosed </w:t>
      </w:r>
      <w:r w:rsidRPr="00B47C7F">
        <w:t>i</w:t>
      </w:r>
      <w:r w:rsidR="00D50DC9" w:rsidRPr="00B47C7F">
        <w:t>nstructions</w:t>
      </w:r>
      <w:r w:rsidR="00A56F37" w:rsidRPr="00B47C7F">
        <w:t xml:space="preserve"> to</w:t>
      </w:r>
      <w:r w:rsidRPr="00B47C7F">
        <w:t>:</w:t>
      </w:r>
    </w:p>
    <w:p w14:paraId="57241D8A" w14:textId="5F8611AE" w:rsidR="006712F1" w:rsidRPr="00B47C7F" w:rsidRDefault="006712F1" w:rsidP="0088732D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</w:rPr>
      </w:pPr>
      <w:r w:rsidRPr="00B47C7F">
        <w:rPr>
          <w:rFonts w:ascii="Times New Roman" w:hAnsi="Times New Roman" w:cs="Times New Roman"/>
        </w:rPr>
        <w:t>R</w:t>
      </w:r>
      <w:r w:rsidR="00892683" w:rsidRPr="00B47C7F">
        <w:rPr>
          <w:rFonts w:ascii="Times New Roman" w:hAnsi="Times New Roman" w:cs="Times New Roman"/>
        </w:rPr>
        <w:t>egister</w:t>
      </w:r>
      <w:r w:rsidR="00D50DC9" w:rsidRPr="00B47C7F">
        <w:rPr>
          <w:rFonts w:ascii="Times New Roman" w:hAnsi="Times New Roman" w:cs="Times New Roman"/>
        </w:rPr>
        <w:t xml:space="preserve"> for </w:t>
      </w:r>
      <w:r w:rsidRPr="00B47C7F">
        <w:rPr>
          <w:rFonts w:ascii="Times New Roman" w:hAnsi="Times New Roman" w:cs="Times New Roman"/>
        </w:rPr>
        <w:t>the exercise</w:t>
      </w:r>
      <w:r w:rsidR="00D15B7A">
        <w:rPr>
          <w:rFonts w:ascii="Times New Roman" w:hAnsi="Times New Roman" w:cs="Times New Roman"/>
        </w:rPr>
        <w:t>.</w:t>
      </w:r>
    </w:p>
    <w:p w14:paraId="6A599DA8" w14:textId="375BCABA" w:rsidR="00CE6D68" w:rsidRPr="00B47C7F" w:rsidRDefault="006712F1" w:rsidP="0088732D">
      <w:pPr>
        <w:pStyle w:val="ListParagraph"/>
        <w:numPr>
          <w:ilvl w:val="0"/>
          <w:numId w:val="8"/>
        </w:numPr>
        <w:spacing w:before="120"/>
        <w:rPr>
          <w:rFonts w:ascii="Times New Roman" w:hAnsi="Times New Roman" w:cs="Times New Roman"/>
        </w:rPr>
      </w:pPr>
      <w:r w:rsidRPr="00B47C7F">
        <w:rPr>
          <w:rFonts w:ascii="Times New Roman" w:hAnsi="Times New Roman" w:cs="Times New Roman"/>
        </w:rPr>
        <w:t>Register for access to the SISE (Sensitive Information Sharing Environment) Tool, operated by the All Hazards Consortium</w:t>
      </w:r>
      <w:r w:rsidR="006C4146" w:rsidRPr="00B47C7F">
        <w:rPr>
          <w:rFonts w:ascii="Times New Roman" w:hAnsi="Times New Roman" w:cs="Times New Roman"/>
        </w:rPr>
        <w:t xml:space="preserve"> </w:t>
      </w:r>
      <w:r w:rsidRPr="00B47C7F">
        <w:rPr>
          <w:rFonts w:ascii="Times New Roman" w:hAnsi="Times New Roman" w:cs="Times New Roman"/>
        </w:rPr>
        <w:t>and its partners.</w:t>
      </w:r>
    </w:p>
    <w:p w14:paraId="5DF394B1" w14:textId="77777777" w:rsidR="007822FC" w:rsidRDefault="007822FC" w:rsidP="00D15B7A">
      <w:pPr>
        <w:spacing w:before="120"/>
      </w:pPr>
    </w:p>
    <w:p w14:paraId="577D1890" w14:textId="2835AAD2" w:rsidR="006712F1" w:rsidRPr="00B47C7F" w:rsidRDefault="000824FA" w:rsidP="001E545F">
      <w:pPr>
        <w:spacing w:before="120"/>
        <w:ind w:left="630" w:hanging="630"/>
      </w:pPr>
      <w:r w:rsidRPr="00B47C7F">
        <w:t xml:space="preserve">Note: </w:t>
      </w:r>
      <w:r w:rsidR="007F4CA6" w:rsidRPr="00B47C7F">
        <w:t xml:space="preserve">Information provided </w:t>
      </w:r>
      <w:r w:rsidR="007822FC">
        <w:t>in th</w:t>
      </w:r>
      <w:r w:rsidR="001E545F" w:rsidRPr="00B47C7F">
        <w:t xml:space="preserve">is </w:t>
      </w:r>
      <w:r w:rsidR="007822FC">
        <w:t xml:space="preserve">Read-Ahead is </w:t>
      </w:r>
      <w:r w:rsidR="001E545F" w:rsidRPr="00B47C7F">
        <w:t>subject to change</w:t>
      </w:r>
      <w:r w:rsidR="008D007D">
        <w:t xml:space="preserve"> with exception to the exercise date and time to conduct</w:t>
      </w:r>
      <w:r w:rsidR="00B41A9C" w:rsidRPr="00B47C7F">
        <w:t>.</w:t>
      </w:r>
      <w:r w:rsidR="008D007D">
        <w:t xml:space="preserve"> </w:t>
      </w:r>
      <w:r w:rsidR="00095130">
        <w:t>Registered participants will receive an</w:t>
      </w:r>
      <w:r w:rsidR="008D007D">
        <w:t xml:space="preserve"> Exercise Plan (ExPlan)</w:t>
      </w:r>
      <w:r w:rsidR="00095130">
        <w:t xml:space="preserve"> once information is finalized prior to the exercise being conducted.  </w:t>
      </w:r>
      <w:r w:rsidR="008D007D">
        <w:t xml:space="preserve">    </w:t>
      </w:r>
      <w:r w:rsidR="001E545F" w:rsidRPr="00B47C7F">
        <w:t xml:space="preserve"> </w:t>
      </w:r>
    </w:p>
    <w:p w14:paraId="41F1AACF" w14:textId="7BE9B40B" w:rsidR="00A43A33" w:rsidRPr="00B47C7F" w:rsidRDefault="00011F2A" w:rsidP="00CF5952">
      <w:pPr>
        <w:pStyle w:val="Heading2"/>
        <w:jc w:val="center"/>
        <w:rPr>
          <w:color w:val="002F80"/>
        </w:rPr>
      </w:pPr>
      <w:bookmarkStart w:id="1" w:name="_Toc454468571"/>
      <w:r w:rsidRPr="00B47C7F">
        <w:rPr>
          <w:color w:val="002F80"/>
        </w:rPr>
        <w:lastRenderedPageBreak/>
        <w:t>Exercise Overview</w:t>
      </w:r>
      <w:bookmarkEnd w:id="1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040130" w:rsidRPr="001D6096" w14:paraId="14C4CBFB" w14:textId="77777777" w:rsidTr="00040130">
        <w:trPr>
          <w:trHeight w:val="437"/>
        </w:trPr>
        <w:tc>
          <w:tcPr>
            <w:tcW w:w="1894" w:type="dxa"/>
            <w:shd w:val="clear" w:color="auto" w:fill="002F80"/>
            <w:vAlign w:val="center"/>
          </w:tcPr>
          <w:p w14:paraId="6F32AD40" w14:textId="77777777" w:rsidR="00040130" w:rsidRPr="00E37AC9" w:rsidRDefault="00040130" w:rsidP="00040130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14:paraId="062D593A" w14:textId="72A436BC" w:rsidR="00040130" w:rsidRPr="00275062" w:rsidRDefault="00892683" w:rsidP="00892683">
            <w:r>
              <w:t>CATEX 2016</w:t>
            </w:r>
          </w:p>
        </w:tc>
      </w:tr>
      <w:tr w:rsidR="00040130" w:rsidRPr="001D6096" w14:paraId="18B34D38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5CD221B7" w14:textId="2B356129" w:rsidR="00040130" w:rsidRPr="00E37AC9" w:rsidRDefault="00867392" w:rsidP="00040130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Exercise Date and Time</w:t>
            </w:r>
          </w:p>
        </w:tc>
        <w:tc>
          <w:tcPr>
            <w:tcW w:w="7376" w:type="dxa"/>
            <w:vAlign w:val="center"/>
          </w:tcPr>
          <w:p w14:paraId="046458E7" w14:textId="04725DC7" w:rsidR="00040130" w:rsidRPr="00275062" w:rsidRDefault="00867392" w:rsidP="00F30C2A">
            <w:r w:rsidRPr="00867392">
              <w:t xml:space="preserve">August 10, 2016 from </w:t>
            </w:r>
            <w:r w:rsidR="00F30C2A">
              <w:t xml:space="preserve">0930 – 1500. </w:t>
            </w:r>
          </w:p>
        </w:tc>
      </w:tr>
      <w:tr w:rsidR="00040130" w:rsidRPr="001D6096" w14:paraId="45778CEA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31A612C5" w14:textId="77777777" w:rsidR="00040130" w:rsidRPr="00E37AC9" w:rsidRDefault="00040130" w:rsidP="00040130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14:paraId="4B2AD699" w14:textId="53C95C22" w:rsidR="00040130" w:rsidRDefault="00040130" w:rsidP="00564392">
            <w:r w:rsidRPr="00275062">
              <w:t xml:space="preserve">The All Hazards </w:t>
            </w:r>
            <w:r w:rsidR="0067682E" w:rsidRPr="00275062">
              <w:t>Consortium</w:t>
            </w:r>
            <w:r w:rsidR="0067682E">
              <w:t xml:space="preserve">’s </w:t>
            </w:r>
            <w:r w:rsidR="00564392">
              <w:t xml:space="preserve">multi-state </w:t>
            </w:r>
            <w:r w:rsidR="0067682E" w:rsidRPr="00275062">
              <w:t>Fleet</w:t>
            </w:r>
            <w:r w:rsidRPr="00275062">
              <w:t xml:space="preserve"> Response Working Group (</w:t>
            </w:r>
            <w:r w:rsidR="00563FA2">
              <w:t>AHC/</w:t>
            </w:r>
            <w:r w:rsidRPr="00275062">
              <w:t>FRWG) will conduct a four (4)-hour functional exercise that will focus on a</w:t>
            </w:r>
            <w:r w:rsidR="00564392">
              <w:t>wareness and application o</w:t>
            </w:r>
            <w:r w:rsidR="00CF5952">
              <w:t>f FRWG Disaster Response Tools and</w:t>
            </w:r>
            <w:r w:rsidR="00564392">
              <w:t xml:space="preserve"> Processes </w:t>
            </w:r>
            <w:r w:rsidR="00BD0CE7">
              <w:t>i</w:t>
            </w:r>
            <w:r w:rsidRPr="00275062">
              <w:t>n support of regional electric power restoration efforts</w:t>
            </w:r>
            <w:r w:rsidR="00246A8D">
              <w:t xml:space="preserve"> across the Eastern United States and Canada</w:t>
            </w:r>
            <w:r w:rsidR="0001532C">
              <w:t xml:space="preserve">. </w:t>
            </w:r>
            <w:r w:rsidR="00FB0F35" w:rsidRPr="00FB0F35">
              <w:t xml:space="preserve">This exercise </w:t>
            </w:r>
            <w:r w:rsidR="00FB0F35">
              <w:t>will be operational</w:t>
            </w:r>
            <w:r w:rsidR="00C47820">
              <w:t xml:space="preserve">, not discussion-based. Participants will attend the exercise virtually. Information sharing will be limited to email exchange and web-based </w:t>
            </w:r>
            <w:r w:rsidR="0001532C">
              <w:t>collaboration tools.</w:t>
            </w:r>
            <w:r w:rsidR="00C47820">
              <w:t xml:space="preserve"> </w:t>
            </w:r>
            <w:r w:rsidR="00095130">
              <w:t xml:space="preserve">No assets or resources will be deployed. </w:t>
            </w:r>
            <w:r w:rsidR="00C47820">
              <w:t xml:space="preserve"> </w:t>
            </w:r>
          </w:p>
        </w:tc>
      </w:tr>
      <w:tr w:rsidR="00723A64" w:rsidRPr="001D6096" w14:paraId="29B89452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4309FF93" w14:textId="77777777" w:rsidR="00723A64" w:rsidRDefault="00723A64" w:rsidP="0089268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Align w:val="center"/>
          </w:tcPr>
          <w:p w14:paraId="719E9120" w14:textId="52D105FF" w:rsidR="00040130" w:rsidRPr="00040130" w:rsidRDefault="00040130" w:rsidP="0088732D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040130">
              <w:rPr>
                <w:rFonts w:ascii="Times New Roman" w:hAnsi="Times New Roman" w:cs="Times New Roman"/>
                <w:b/>
                <w:szCs w:val="20"/>
              </w:rPr>
              <w:t>Evaluate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participant</w:t>
            </w:r>
            <w:r w:rsidR="00C47820">
              <w:rPr>
                <w:rFonts w:ascii="Times New Roman" w:hAnsi="Times New Roman" w:cs="Times New Roman"/>
                <w:szCs w:val="20"/>
              </w:rPr>
              <w:t>’s functional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knowledge of </w:t>
            </w:r>
            <w:r w:rsidR="00892683">
              <w:rPr>
                <w:rFonts w:ascii="Times New Roman" w:hAnsi="Times New Roman" w:cs="Times New Roman"/>
                <w:szCs w:val="20"/>
              </w:rPr>
              <w:t xml:space="preserve">AHC </w:t>
            </w:r>
            <w:r w:rsidRPr="00040130">
              <w:rPr>
                <w:rFonts w:ascii="Times New Roman" w:hAnsi="Times New Roman" w:cs="Times New Roman"/>
                <w:szCs w:val="20"/>
              </w:rPr>
              <w:t>FRWG processes and tools.</w:t>
            </w:r>
          </w:p>
          <w:p w14:paraId="6B3279F3" w14:textId="5E86D387" w:rsidR="00040130" w:rsidRPr="00491B02" w:rsidRDefault="00040130" w:rsidP="0088732D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040130">
              <w:rPr>
                <w:rFonts w:ascii="Times New Roman" w:hAnsi="Times New Roman" w:cs="Times New Roman"/>
                <w:b/>
                <w:szCs w:val="20"/>
              </w:rPr>
              <w:t>Stress test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some key elements of the FRWG’s </w:t>
            </w:r>
            <w:r w:rsidR="00B60E72">
              <w:rPr>
                <w:rFonts w:ascii="Times New Roman" w:hAnsi="Times New Roman" w:cs="Times New Roman"/>
                <w:szCs w:val="20"/>
              </w:rPr>
              <w:t xml:space="preserve">Regional 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Fleet Movement </w:t>
            </w:r>
            <w:r w:rsidR="00C47820">
              <w:rPr>
                <w:rFonts w:ascii="Times New Roman" w:hAnsi="Times New Roman" w:cs="Times New Roman"/>
                <w:szCs w:val="20"/>
              </w:rPr>
              <w:t xml:space="preserve">Coordination </w:t>
            </w:r>
            <w:r w:rsidR="00B60E72">
              <w:rPr>
                <w:rFonts w:ascii="Times New Roman" w:hAnsi="Times New Roman" w:cs="Times New Roman"/>
                <w:szCs w:val="20"/>
              </w:rPr>
              <w:t xml:space="preserve">Initiative </w:t>
            </w:r>
            <w:r w:rsidRPr="00040130">
              <w:rPr>
                <w:rFonts w:ascii="Times New Roman" w:hAnsi="Times New Roman" w:cs="Times New Roman"/>
                <w:szCs w:val="20"/>
              </w:rPr>
              <w:t>process and Sensitive Information Sharing Environment (SISE) information sharing tools to determine gaps.</w:t>
            </w:r>
          </w:p>
          <w:p w14:paraId="5F7CF77E" w14:textId="77777777" w:rsidR="00A9519E" w:rsidRPr="00491B02" w:rsidRDefault="0088732D" w:rsidP="008873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491B02">
              <w:rPr>
                <w:rFonts w:ascii="Times New Roman" w:hAnsi="Times New Roman" w:cs="Times New Roman"/>
                <w:b/>
                <w:bCs/>
                <w:szCs w:val="20"/>
              </w:rPr>
              <w:t>Confirm</w:t>
            </w:r>
            <w:r w:rsidRPr="00491B02">
              <w:rPr>
                <w:rFonts w:ascii="Times New Roman" w:hAnsi="Times New Roman" w:cs="Times New Roman"/>
                <w:szCs w:val="20"/>
              </w:rPr>
              <w:t xml:space="preserve"> roles and responsibilities across the following entities:</w:t>
            </w:r>
          </w:p>
          <w:p w14:paraId="582F76D6" w14:textId="0D2C6DF2" w:rsidR="00A9519E" w:rsidRPr="00491B02" w:rsidRDefault="00CF5952" w:rsidP="008873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491B02">
              <w:rPr>
                <w:rFonts w:ascii="Times New Roman" w:hAnsi="Times New Roman" w:cs="Times New Roman"/>
                <w:szCs w:val="20"/>
              </w:rPr>
              <w:t>Regional Mutual Assistance</w:t>
            </w:r>
            <w:r>
              <w:rPr>
                <w:rFonts w:ascii="Times New Roman" w:hAnsi="Times New Roman" w:cs="Times New Roman"/>
                <w:szCs w:val="20"/>
              </w:rPr>
              <w:t xml:space="preserve"> Groups (</w:t>
            </w:r>
            <w:r w:rsidR="0088732D" w:rsidRPr="00491B02">
              <w:rPr>
                <w:rFonts w:ascii="Times New Roman" w:hAnsi="Times New Roman" w:cs="Times New Roman"/>
                <w:szCs w:val="20"/>
              </w:rPr>
              <w:t>RMAGs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="0088732D" w:rsidRPr="00491B02">
              <w:rPr>
                <w:rFonts w:ascii="Times New Roman" w:hAnsi="Times New Roman" w:cs="Times New Roman"/>
                <w:szCs w:val="20"/>
              </w:rPr>
              <w:t xml:space="preserve"> – in electric sector</w:t>
            </w:r>
          </w:p>
          <w:p w14:paraId="2FEED652" w14:textId="37C79F8D" w:rsidR="00A9519E" w:rsidRPr="00491B02" w:rsidRDefault="00CF5952" w:rsidP="008873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State and</w:t>
            </w:r>
            <w:r w:rsidR="0088732D" w:rsidRPr="00491B02">
              <w:rPr>
                <w:rFonts w:ascii="Times New Roman" w:hAnsi="Times New Roman" w:cs="Times New Roman"/>
                <w:szCs w:val="20"/>
              </w:rPr>
              <w:t xml:space="preserve"> Local Government Agencies</w:t>
            </w:r>
          </w:p>
          <w:p w14:paraId="78A0D4D0" w14:textId="50662ADC" w:rsidR="00A9519E" w:rsidRPr="00491B02" w:rsidRDefault="00CF5952" w:rsidP="008873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Federal and</w:t>
            </w:r>
            <w:r w:rsidR="0088732D" w:rsidRPr="00491B02">
              <w:rPr>
                <w:rFonts w:ascii="Times New Roman" w:hAnsi="Times New Roman" w:cs="Times New Roman"/>
                <w:szCs w:val="20"/>
              </w:rPr>
              <w:t xml:space="preserve"> Canadian Government Agencies</w:t>
            </w:r>
          </w:p>
          <w:p w14:paraId="4D112546" w14:textId="77777777" w:rsidR="00A9519E" w:rsidRPr="00491B02" w:rsidRDefault="0088732D" w:rsidP="008873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491B02">
              <w:rPr>
                <w:rFonts w:ascii="Times New Roman" w:hAnsi="Times New Roman" w:cs="Times New Roman"/>
                <w:szCs w:val="20"/>
              </w:rPr>
              <w:t>Trade Associations</w:t>
            </w:r>
          </w:p>
          <w:p w14:paraId="25CFD60F" w14:textId="77777777" w:rsidR="00A9519E" w:rsidRPr="00491B02" w:rsidRDefault="0088732D" w:rsidP="008873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491B02">
              <w:rPr>
                <w:rFonts w:ascii="Times New Roman" w:hAnsi="Times New Roman" w:cs="Times New Roman"/>
                <w:szCs w:val="20"/>
              </w:rPr>
              <w:t>Participating Sectors (Food/Water, Fuel, Telecom, Finance, Retail and Transportation)</w:t>
            </w:r>
          </w:p>
          <w:p w14:paraId="1B0CB346" w14:textId="37D2AB42" w:rsidR="00491B02" w:rsidRPr="00491B02" w:rsidRDefault="0088732D" w:rsidP="008873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491B02">
              <w:rPr>
                <w:rFonts w:ascii="Times New Roman" w:hAnsi="Times New Roman" w:cs="Times New Roman"/>
                <w:szCs w:val="20"/>
              </w:rPr>
              <w:t>The Fleet Response Working Group (FRWG) Program Office</w:t>
            </w:r>
          </w:p>
          <w:p w14:paraId="03FBE382" w14:textId="77777777" w:rsidR="00040130" w:rsidRPr="00040130" w:rsidRDefault="00040130" w:rsidP="008873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491B02">
              <w:rPr>
                <w:rFonts w:ascii="Times New Roman" w:hAnsi="Times New Roman" w:cs="Times New Roman"/>
                <w:b/>
                <w:bCs/>
                <w:szCs w:val="20"/>
              </w:rPr>
              <w:t>Discuss</w:t>
            </w:r>
            <w:r w:rsidRPr="00491B02">
              <w:rPr>
                <w:rFonts w:ascii="Times New Roman" w:hAnsi="Times New Roman" w:cs="Times New Roman"/>
                <w:szCs w:val="20"/>
              </w:rPr>
              <w:t xml:space="preserve"> logistical challenges when initially aligning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resource needs between utilities.</w:t>
            </w:r>
          </w:p>
          <w:p w14:paraId="71539E6E" w14:textId="77777777" w:rsidR="00040130" w:rsidRPr="00040130" w:rsidRDefault="00040130" w:rsidP="008873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040130">
              <w:rPr>
                <w:rFonts w:ascii="Times New Roman" w:hAnsi="Times New Roman" w:cs="Times New Roman"/>
                <w:b/>
                <w:bCs/>
                <w:szCs w:val="20"/>
              </w:rPr>
              <w:t>Assess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overall communications, operational process efficiency and tool(s) operational effectiveness.</w:t>
            </w:r>
          </w:p>
          <w:p w14:paraId="2FF1E89C" w14:textId="77777777" w:rsidR="00040130" w:rsidRDefault="00040130" w:rsidP="008873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040130">
              <w:rPr>
                <w:rFonts w:ascii="Times New Roman" w:hAnsi="Times New Roman" w:cs="Times New Roman"/>
                <w:b/>
                <w:bCs/>
                <w:szCs w:val="20"/>
              </w:rPr>
              <w:t>Identify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7B39">
              <w:rPr>
                <w:rFonts w:ascii="Times New Roman" w:hAnsi="Times New Roman" w:cs="Times New Roman"/>
                <w:szCs w:val="20"/>
              </w:rPr>
              <w:t>strengths,</w:t>
            </w:r>
            <w:r w:rsidRPr="00040130">
              <w:rPr>
                <w:rFonts w:ascii="Times New Roman" w:hAnsi="Times New Roman" w:cs="Times New Roman"/>
                <w:szCs w:val="20"/>
              </w:rPr>
              <w:t xml:space="preserve"> areas for improvement and assign corrective actions.</w:t>
            </w:r>
          </w:p>
          <w:p w14:paraId="6E756BE1" w14:textId="77777777" w:rsidR="00723A64" w:rsidRPr="00040130" w:rsidRDefault="00040130" w:rsidP="0088732D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Education </w:t>
            </w:r>
            <w:r w:rsidRPr="00040130">
              <w:rPr>
                <w:rFonts w:ascii="Times New Roman" w:hAnsi="Times New Roman" w:cs="Times New Roman"/>
                <w:bCs/>
                <w:szCs w:val="20"/>
              </w:rPr>
              <w:t>on the FRWG’s Fleet Movement Coordination with State’s process and tools.</w:t>
            </w:r>
          </w:p>
        </w:tc>
      </w:tr>
      <w:tr w:rsidR="00723A64" w:rsidRPr="001D6096" w14:paraId="1DE87F36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291ED1C0" w14:textId="77777777" w:rsidR="00723A64" w:rsidRDefault="00723A64" w:rsidP="0089268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376" w:type="dxa"/>
            <w:vAlign w:val="center"/>
          </w:tcPr>
          <w:p w14:paraId="1E6182ED" w14:textId="0B6B2400" w:rsidR="002F0A2D" w:rsidRPr="00040130" w:rsidRDefault="00040130" w:rsidP="00B47C7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Natural </w:t>
            </w:r>
            <w:r w:rsidR="00867392">
              <w:rPr>
                <w:szCs w:val="20"/>
              </w:rPr>
              <w:t xml:space="preserve">hazard, severe weather similar to a </w:t>
            </w:r>
            <w:r w:rsidR="001263EA">
              <w:rPr>
                <w:szCs w:val="20"/>
              </w:rPr>
              <w:t>“</w:t>
            </w:r>
            <w:r w:rsidR="001E0A46">
              <w:rPr>
                <w:szCs w:val="20"/>
              </w:rPr>
              <w:t>Derecho</w:t>
            </w:r>
            <w:r w:rsidR="001263EA">
              <w:rPr>
                <w:szCs w:val="20"/>
              </w:rPr>
              <w:t>”</w:t>
            </w:r>
            <w:r w:rsidR="001E0A46">
              <w:rPr>
                <w:szCs w:val="20"/>
              </w:rPr>
              <w:t xml:space="preserve"> event. </w:t>
            </w:r>
          </w:p>
        </w:tc>
      </w:tr>
      <w:tr w:rsidR="00723A64" w:rsidRPr="001D6096" w14:paraId="5CDC5073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7B650E89" w14:textId="77777777" w:rsidR="00723A64" w:rsidRDefault="00723A64" w:rsidP="0089268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376" w:type="dxa"/>
            <w:vAlign w:val="center"/>
          </w:tcPr>
          <w:p w14:paraId="6EEB8864" w14:textId="293E3184" w:rsidR="00723A64" w:rsidRPr="00040130" w:rsidRDefault="00040130" w:rsidP="007640BE">
            <w:pPr>
              <w:spacing w:before="120" w:after="120"/>
              <w:rPr>
                <w:szCs w:val="20"/>
              </w:rPr>
            </w:pPr>
            <w:r w:rsidRPr="009737C2">
              <w:t xml:space="preserve">Predicted </w:t>
            </w:r>
            <w:r w:rsidR="007640BE">
              <w:t xml:space="preserve">but </w:t>
            </w:r>
            <w:r>
              <w:t>i</w:t>
            </w:r>
            <w:r w:rsidRPr="009737C2">
              <w:t xml:space="preserve">solated </w:t>
            </w:r>
            <w:r>
              <w:t>se</w:t>
            </w:r>
            <w:r w:rsidRPr="009737C2">
              <w:t xml:space="preserve">vere </w:t>
            </w:r>
            <w:r>
              <w:t>w</w:t>
            </w:r>
            <w:r w:rsidRPr="009737C2">
              <w:t xml:space="preserve">eather </w:t>
            </w:r>
            <w:r w:rsidR="007640BE">
              <w:t xml:space="preserve">in the mid-west </w:t>
            </w:r>
            <w:r w:rsidRPr="009737C2">
              <w:t xml:space="preserve">turns into </w:t>
            </w:r>
            <w:r w:rsidR="007640BE">
              <w:t xml:space="preserve">a </w:t>
            </w:r>
            <w:r w:rsidRPr="009737C2">
              <w:t>reg</w:t>
            </w:r>
            <w:r w:rsidR="007640BE">
              <w:t xml:space="preserve">ional, widespread severe storm </w:t>
            </w:r>
            <w:r w:rsidRPr="009737C2">
              <w:t xml:space="preserve">with little to no advance notice. </w:t>
            </w:r>
            <w:r w:rsidR="007640BE">
              <w:t>The storm is projected to pass over State</w:t>
            </w:r>
            <w:r w:rsidR="002F0A2D">
              <w:t>s</w:t>
            </w:r>
            <w:r w:rsidR="007640BE">
              <w:t xml:space="preserve"> in the Mid-Atlantic </w:t>
            </w:r>
            <w:r w:rsidR="002F0A2D">
              <w:t xml:space="preserve">and Northeast </w:t>
            </w:r>
            <w:r w:rsidR="002F0A2D">
              <w:lastRenderedPageBreak/>
              <w:t xml:space="preserve">regions </w:t>
            </w:r>
            <w:r w:rsidR="007640BE">
              <w:t>during a period of excessive</w:t>
            </w:r>
            <w:r w:rsidRPr="009737C2">
              <w:t xml:space="preserve"> </w:t>
            </w:r>
            <w:r w:rsidR="007640BE">
              <w:t>heat</w:t>
            </w:r>
            <w:r w:rsidR="001263EA">
              <w:t xml:space="preserve">, high temperatures, and </w:t>
            </w:r>
            <w:r w:rsidRPr="009737C2">
              <w:t xml:space="preserve">high </w:t>
            </w:r>
            <w:r w:rsidR="001263EA">
              <w:t xml:space="preserve">electrical </w:t>
            </w:r>
            <w:r w:rsidRPr="009737C2">
              <w:t>load periods.</w:t>
            </w:r>
          </w:p>
        </w:tc>
      </w:tr>
      <w:tr w:rsidR="00723A64" w:rsidRPr="001D6096" w14:paraId="473BB35B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0B0729D1" w14:textId="77777777" w:rsidR="00723A64" w:rsidRPr="00E37AC9" w:rsidRDefault="00723A64" w:rsidP="0089268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lastRenderedPageBreak/>
              <w:t>Sponsor</w:t>
            </w:r>
            <w:r w:rsidR="00040130">
              <w:rPr>
                <w:b/>
                <w:color w:val="FFFFFF" w:themeColor="background1"/>
                <w:szCs w:val="20"/>
              </w:rPr>
              <w:t>s</w:t>
            </w:r>
          </w:p>
        </w:tc>
        <w:tc>
          <w:tcPr>
            <w:tcW w:w="7376" w:type="dxa"/>
            <w:vAlign w:val="center"/>
          </w:tcPr>
          <w:p w14:paraId="359D93E8" w14:textId="0CF37AFD" w:rsidR="001263EA" w:rsidRPr="0009092C" w:rsidRDefault="00040130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737C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ll </w:t>
            </w:r>
            <w:r w:rsidRPr="009737C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azards </w:t>
            </w:r>
            <w:r w:rsidRPr="009737C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onsortium</w:t>
            </w:r>
            <w:r w:rsidR="00C15EBF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E80">
              <w:rPr>
                <w:rFonts w:ascii="Times New Roman" w:hAnsi="Times New Roman" w:cs="Times New Roman"/>
              </w:rPr>
              <w:t xml:space="preserve">Multi-State </w:t>
            </w:r>
            <w:r>
              <w:rPr>
                <w:rFonts w:ascii="Times New Roman" w:hAnsi="Times New Roman" w:cs="Times New Roman"/>
              </w:rPr>
              <w:t xml:space="preserve">Fleet Response </w:t>
            </w:r>
            <w:r w:rsidR="00563FA2">
              <w:rPr>
                <w:rFonts w:ascii="Times New Roman" w:hAnsi="Times New Roman" w:cs="Times New Roman"/>
              </w:rPr>
              <w:t xml:space="preserve">(FRWG) </w:t>
            </w:r>
            <w:r>
              <w:rPr>
                <w:rFonts w:ascii="Times New Roman" w:hAnsi="Times New Roman" w:cs="Times New Roman"/>
              </w:rPr>
              <w:t>Working Group</w:t>
            </w:r>
            <w:r w:rsidR="00CF5952">
              <w:rPr>
                <w:rFonts w:ascii="Times New Roman" w:hAnsi="Times New Roman" w:cs="Times New Roman"/>
              </w:rPr>
              <w:t xml:space="preserve"> and the</w:t>
            </w:r>
            <w:r w:rsidR="00886968">
              <w:rPr>
                <w:rFonts w:ascii="Times New Roman" w:hAnsi="Times New Roman" w:cs="Times New Roman"/>
              </w:rPr>
              <w:t xml:space="preserve"> East Coast Corridor Coalition </w:t>
            </w:r>
            <w:r w:rsidR="00563FA2">
              <w:rPr>
                <w:rFonts w:ascii="Times New Roman" w:hAnsi="Times New Roman" w:cs="Times New Roman"/>
              </w:rPr>
              <w:t xml:space="preserve">(EC3) </w:t>
            </w:r>
            <w:r w:rsidR="00886968">
              <w:rPr>
                <w:rFonts w:ascii="Times New Roman" w:hAnsi="Times New Roman" w:cs="Times New Roman"/>
              </w:rPr>
              <w:t>Working Group</w:t>
            </w:r>
          </w:p>
          <w:p w14:paraId="566E8F07" w14:textId="62B12620" w:rsidR="0009092C" w:rsidRPr="0009092C" w:rsidRDefault="0009092C" w:rsidP="0009092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U.S. </w:t>
            </w:r>
            <w:r w:rsidRPr="009737C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epartment of </w:t>
            </w:r>
            <w:r w:rsidRPr="009737C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omeland </w:t>
            </w:r>
            <w:r w:rsidRPr="009737C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ecurity Office of Infrastructure Protection</w:t>
            </w:r>
            <w:r w:rsidR="00C15EBF">
              <w:rPr>
                <w:rFonts w:ascii="Times New Roman" w:hAnsi="Times New Roman" w:cs="Times New Roman"/>
              </w:rPr>
              <w:t xml:space="preserve"> (DHS / IP)</w:t>
            </w:r>
          </w:p>
          <w:p w14:paraId="34B67629" w14:textId="4B443818" w:rsidR="001263EA" w:rsidRPr="001263EA" w:rsidRDefault="001263EA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Regional Mutual Assistance Groups</w:t>
            </w:r>
            <w:r w:rsidR="00F87E80">
              <w:rPr>
                <w:rFonts w:ascii="Times New Roman" w:hAnsi="Times New Roman" w:cs="Times New Roman"/>
              </w:rPr>
              <w:t xml:space="preserve"> </w:t>
            </w:r>
            <w:r w:rsidR="00C15EBF">
              <w:rPr>
                <w:rFonts w:ascii="Times New Roman" w:hAnsi="Times New Roman" w:cs="Times New Roman"/>
              </w:rPr>
              <w:t xml:space="preserve">(RMAG) </w:t>
            </w:r>
            <w:r w:rsidR="00F87E80">
              <w:rPr>
                <w:rFonts w:ascii="Times New Roman" w:hAnsi="Times New Roman" w:cs="Times New Roman"/>
              </w:rPr>
              <w:t>in Electric Sector:</w:t>
            </w:r>
          </w:p>
          <w:p w14:paraId="2CDBE8D4" w14:textId="0799DCC0" w:rsidR="00040130" w:rsidRPr="009737C2" w:rsidRDefault="001263EA" w:rsidP="0088732D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1263EA">
              <w:rPr>
                <w:rFonts w:ascii="Times New Roman" w:hAnsi="Times New Roman" w:cs="Times New Roman"/>
              </w:rPr>
              <w:t>Southeastern Electric Exchange, Great Lakes, North Atlantic, Mid-West</w:t>
            </w:r>
            <w:r w:rsidR="00040130">
              <w:rPr>
                <w:rFonts w:ascii="Times New Roman" w:hAnsi="Times New Roman" w:cs="Times New Roman"/>
              </w:rPr>
              <w:t xml:space="preserve"> </w:t>
            </w:r>
          </w:p>
          <w:p w14:paraId="5FA16ADC" w14:textId="07DC82B4" w:rsidR="0009092C" w:rsidRPr="0009092C" w:rsidRDefault="0009092C" w:rsidP="0009092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Investor Owned Utilities (IOU) </w:t>
            </w:r>
          </w:p>
          <w:p w14:paraId="2A370417" w14:textId="1172A60B" w:rsidR="00FE08E9" w:rsidRDefault="00FE08E9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 Department of Energy</w:t>
            </w:r>
            <w:r w:rsidR="00C15EBF">
              <w:rPr>
                <w:rFonts w:ascii="Times New Roman" w:hAnsi="Times New Roman" w:cs="Times New Roman"/>
              </w:rPr>
              <w:t xml:space="preserve"> (DOE)</w:t>
            </w:r>
          </w:p>
          <w:p w14:paraId="49399F36" w14:textId="4792C8AB" w:rsidR="000D36A3" w:rsidRPr="000D36A3" w:rsidRDefault="000D36A3" w:rsidP="000D36A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 Department of Transportation</w:t>
            </w:r>
            <w:r w:rsidR="00C15EBF">
              <w:rPr>
                <w:rFonts w:ascii="Times New Roman" w:hAnsi="Times New Roman" w:cs="Times New Roman"/>
              </w:rPr>
              <w:t xml:space="preserve"> (DOT)</w:t>
            </w:r>
          </w:p>
          <w:p w14:paraId="21C3881F" w14:textId="4ED9E961" w:rsidR="00FE08E9" w:rsidRDefault="00FE08E9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</w:t>
            </w:r>
            <w:r w:rsidR="007F4CA6">
              <w:rPr>
                <w:rFonts w:ascii="Times New Roman" w:hAnsi="Times New Roman" w:cs="Times New Roman"/>
              </w:rPr>
              <w:t>ral Emergency Management Agency</w:t>
            </w:r>
            <w:r w:rsidR="00C15EBF">
              <w:rPr>
                <w:rFonts w:ascii="Times New Roman" w:hAnsi="Times New Roman" w:cs="Times New Roman"/>
              </w:rPr>
              <w:t xml:space="preserve"> (FEMA)</w:t>
            </w:r>
          </w:p>
          <w:p w14:paraId="05F9DD22" w14:textId="795C27F2" w:rsidR="00FE08E9" w:rsidRPr="00FE08E9" w:rsidRDefault="00CF5952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 Customs and</w:t>
            </w:r>
            <w:r w:rsidR="00FE08E9">
              <w:rPr>
                <w:rFonts w:ascii="Times New Roman" w:hAnsi="Times New Roman" w:cs="Times New Roman"/>
              </w:rPr>
              <w:t xml:space="preserve"> Border Protection</w:t>
            </w:r>
            <w:r w:rsidR="00C15EBF">
              <w:rPr>
                <w:rFonts w:ascii="Times New Roman" w:hAnsi="Times New Roman" w:cs="Times New Roman"/>
              </w:rPr>
              <w:t xml:space="preserve"> (CBP)</w:t>
            </w:r>
          </w:p>
          <w:p w14:paraId="793FFD08" w14:textId="0039BB16" w:rsidR="00FE08E9" w:rsidRPr="00FE08E9" w:rsidRDefault="00FE08E9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  <w:szCs w:val="20"/>
              </w:rPr>
            </w:pPr>
            <w:r w:rsidRPr="00FE08E9">
              <w:rPr>
                <w:rFonts w:ascii="Times New Roman" w:hAnsi="Times New Roman" w:cs="Times New Roman"/>
                <w:szCs w:val="20"/>
              </w:rPr>
              <w:t>E</w:t>
            </w:r>
            <w:r w:rsidR="001263EA">
              <w:rPr>
                <w:rFonts w:ascii="Times New Roman" w:hAnsi="Times New Roman" w:cs="Times New Roman"/>
                <w:szCs w:val="20"/>
              </w:rPr>
              <w:t>dison Electric Institute</w:t>
            </w:r>
            <w:r w:rsidR="00C15EBF">
              <w:rPr>
                <w:rFonts w:ascii="Times New Roman" w:hAnsi="Times New Roman" w:cs="Times New Roman"/>
                <w:szCs w:val="20"/>
              </w:rPr>
              <w:t xml:space="preserve"> (EEI)</w:t>
            </w:r>
          </w:p>
          <w:p w14:paraId="3360E86F" w14:textId="1CCB6AC5" w:rsidR="00867392" w:rsidRPr="00867392" w:rsidRDefault="00FE08E9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  <w:szCs w:val="20"/>
              </w:rPr>
            </w:pPr>
            <w:r w:rsidRPr="00FE08E9">
              <w:rPr>
                <w:rFonts w:ascii="Times New Roman" w:hAnsi="Times New Roman" w:cs="Times New Roman"/>
                <w:szCs w:val="20"/>
              </w:rPr>
              <w:t>National Rural Electric Cooperative Association</w:t>
            </w:r>
            <w:r w:rsidR="00C15EBF">
              <w:rPr>
                <w:rFonts w:ascii="Times New Roman" w:hAnsi="Times New Roman" w:cs="Times New Roman"/>
                <w:szCs w:val="20"/>
              </w:rPr>
              <w:t xml:space="preserve"> (NRECA)</w:t>
            </w:r>
          </w:p>
          <w:p w14:paraId="449FF30B" w14:textId="1E3A8721" w:rsidR="00FE08E9" w:rsidRPr="00040130" w:rsidRDefault="00867392" w:rsidP="0088732D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  <w:szCs w:val="20"/>
              </w:rPr>
            </w:pPr>
            <w:r w:rsidRPr="00867392">
              <w:rPr>
                <w:rFonts w:ascii="Times New Roman" w:hAnsi="Times New Roman" w:cs="Times New Roman"/>
                <w:szCs w:val="20"/>
              </w:rPr>
              <w:t>American Public Power Association</w:t>
            </w:r>
            <w:r w:rsidR="00C15EBF">
              <w:rPr>
                <w:rFonts w:ascii="Times New Roman" w:hAnsi="Times New Roman" w:cs="Times New Roman"/>
                <w:szCs w:val="20"/>
              </w:rPr>
              <w:t xml:space="preserve"> (APPA)</w:t>
            </w:r>
          </w:p>
        </w:tc>
      </w:tr>
      <w:tr w:rsidR="00723A64" w:rsidRPr="001D6096" w14:paraId="2BD0C7F1" w14:textId="77777777" w:rsidTr="00040130">
        <w:trPr>
          <w:trHeight w:val="432"/>
        </w:trPr>
        <w:tc>
          <w:tcPr>
            <w:tcW w:w="1894" w:type="dxa"/>
            <w:shd w:val="clear" w:color="auto" w:fill="002F80"/>
            <w:vAlign w:val="center"/>
          </w:tcPr>
          <w:p w14:paraId="6F870178" w14:textId="1CBF3488" w:rsidR="00723A64" w:rsidRPr="00E37AC9" w:rsidRDefault="00723A64" w:rsidP="0089268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14:paraId="29503D86" w14:textId="48EDB394" w:rsidR="00040130" w:rsidRDefault="00040130" w:rsidP="0004013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Tom Moran </w:t>
            </w:r>
          </w:p>
          <w:p w14:paraId="06550AEF" w14:textId="77777777" w:rsidR="00040130" w:rsidRPr="005401D4" w:rsidRDefault="00040130" w:rsidP="00040130">
            <w:pPr>
              <w:pStyle w:val="Default"/>
            </w:pPr>
            <w:r>
              <w:t>Executive Director</w:t>
            </w:r>
          </w:p>
          <w:p w14:paraId="079130B8" w14:textId="77777777" w:rsidR="00040130" w:rsidRPr="005401D4" w:rsidRDefault="00040130" w:rsidP="00040130">
            <w:pPr>
              <w:pStyle w:val="Default"/>
            </w:pPr>
            <w:r w:rsidRPr="005401D4">
              <w:t>All Hazards Consortium</w:t>
            </w:r>
          </w:p>
          <w:p w14:paraId="6806B7AB" w14:textId="77777777" w:rsidR="00040130" w:rsidRPr="005401D4" w:rsidRDefault="00040130" w:rsidP="00040130">
            <w:pPr>
              <w:pStyle w:val="Default"/>
            </w:pPr>
            <w:r w:rsidRPr="005401D4">
              <w:t>Cell: 443-718-9109</w:t>
            </w:r>
          </w:p>
          <w:p w14:paraId="755A7F41" w14:textId="3075BFDF" w:rsidR="00723A64" w:rsidRPr="00E34D76" w:rsidRDefault="00275A56" w:rsidP="00D2256F">
            <w:pPr>
              <w:pStyle w:val="Default"/>
            </w:pPr>
            <w:hyperlink r:id="rId9" w:history="1">
              <w:r w:rsidR="00D2256F">
                <w:rPr>
                  <w:rStyle w:val="Hyperlink"/>
                </w:rPr>
                <w:t>catex2016@ahcusa.org</w:t>
              </w:r>
            </w:hyperlink>
            <w:r w:rsidR="00040130">
              <w:t xml:space="preserve">  </w:t>
            </w:r>
          </w:p>
        </w:tc>
      </w:tr>
    </w:tbl>
    <w:p w14:paraId="406FEA24" w14:textId="4290A6B7" w:rsidR="00F559A9" w:rsidRDefault="00F559A9" w:rsidP="002D13B0">
      <w:pPr>
        <w:pStyle w:val="BodyText"/>
      </w:pPr>
    </w:p>
    <w:p w14:paraId="0F667196" w14:textId="77777777" w:rsidR="00CF5952" w:rsidRDefault="00CF5952" w:rsidP="002D13B0">
      <w:pPr>
        <w:pStyle w:val="BodyText"/>
        <w:rPr>
          <w:color w:val="002F80"/>
        </w:rPr>
        <w:sectPr w:rsidR="00CF5952" w:rsidSect="00F87E80">
          <w:headerReference w:type="default" r:id="rId10"/>
          <w:footerReference w:type="default" r:id="rId11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2601ABE3" w14:textId="5DB9FEA2" w:rsidR="000824FA" w:rsidRPr="00B47C7F" w:rsidRDefault="000824FA" w:rsidP="00CF5952">
      <w:pPr>
        <w:pStyle w:val="Heading2"/>
        <w:jc w:val="center"/>
        <w:rPr>
          <w:color w:val="002F80"/>
        </w:rPr>
      </w:pPr>
      <w:r w:rsidRPr="00B47C7F">
        <w:rPr>
          <w:color w:val="002F80"/>
        </w:rPr>
        <w:lastRenderedPageBreak/>
        <w:t>Exercise Schedule</w:t>
      </w:r>
    </w:p>
    <w:tbl>
      <w:tblPr>
        <w:tblW w:w="9206" w:type="dxa"/>
        <w:jc w:val="center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</w:tblBorders>
        <w:tblLayout w:type="fixed"/>
        <w:tblLook w:val="0020" w:firstRow="1" w:lastRow="0" w:firstColumn="0" w:lastColumn="0" w:noHBand="0" w:noVBand="0"/>
      </w:tblPr>
      <w:tblGrid>
        <w:gridCol w:w="3127"/>
        <w:gridCol w:w="1890"/>
        <w:gridCol w:w="4189"/>
      </w:tblGrid>
      <w:tr w:rsidR="003A6A3A" w:rsidRPr="002D1C4F" w14:paraId="2D788BBA" w14:textId="77777777" w:rsidTr="00B621C8">
        <w:trPr>
          <w:trHeight w:val="191"/>
          <w:jc w:val="center"/>
        </w:trPr>
        <w:tc>
          <w:tcPr>
            <w:tcW w:w="9206" w:type="dxa"/>
            <w:gridSpan w:val="3"/>
            <w:tcBorders>
              <w:top w:val="single" w:sz="18" w:space="0" w:color="17365D"/>
            </w:tcBorders>
            <w:shd w:val="clear" w:color="auto" w:fill="002F80"/>
            <w:vAlign w:val="center"/>
          </w:tcPr>
          <w:p w14:paraId="2B81CBEA" w14:textId="594905F8" w:rsidR="003A6A3A" w:rsidRPr="002A3400" w:rsidRDefault="003A6A3A" w:rsidP="002A34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August 10, 2016</w:t>
            </w:r>
          </w:p>
        </w:tc>
      </w:tr>
      <w:tr w:rsidR="003A6A3A" w:rsidRPr="002D1C4F" w14:paraId="6A4BD534" w14:textId="77777777" w:rsidTr="008A4BA0">
        <w:trPr>
          <w:trHeight w:val="414"/>
          <w:jc w:val="center"/>
        </w:trPr>
        <w:tc>
          <w:tcPr>
            <w:tcW w:w="5017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14:paraId="3CA1CFF1" w14:textId="722BBBBC" w:rsidR="003A6A3A" w:rsidRPr="002A3400" w:rsidRDefault="003A6A3A" w:rsidP="003A6A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Time</w:t>
            </w:r>
          </w:p>
        </w:tc>
        <w:tc>
          <w:tcPr>
            <w:tcW w:w="4189" w:type="dxa"/>
            <w:tcBorders>
              <w:bottom w:val="nil"/>
            </w:tcBorders>
            <w:shd w:val="clear" w:color="auto" w:fill="BFBFBF"/>
            <w:vAlign w:val="center"/>
          </w:tcPr>
          <w:p w14:paraId="04952F7F" w14:textId="6176D6BB" w:rsidR="003A6A3A" w:rsidRPr="002A3400" w:rsidRDefault="003A6A3A" w:rsidP="003A6A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0824FA" w:rsidRPr="002D1C4F" w14:paraId="09C61038" w14:textId="77777777" w:rsidTr="002A3400">
        <w:trPr>
          <w:trHeight w:val="146"/>
          <w:jc w:val="center"/>
        </w:trPr>
        <w:tc>
          <w:tcPr>
            <w:tcW w:w="3127" w:type="dxa"/>
            <w:tcBorders>
              <w:top w:val="nil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A3F2353" w14:textId="308B1A66" w:rsidR="000824FA" w:rsidRPr="002A3400" w:rsidRDefault="003A6A3A" w:rsidP="00F30C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30C2A">
              <w:rPr>
                <w:rFonts w:ascii="Arial" w:hAnsi="Arial" w:cs="Arial"/>
                <w:sz w:val="22"/>
                <w:szCs w:val="22"/>
              </w:rPr>
              <w:t xml:space="preserve">0930 – 1000 </w:t>
            </w:r>
          </w:p>
        </w:tc>
        <w:tc>
          <w:tcPr>
            <w:tcW w:w="6079" w:type="dxa"/>
            <w:gridSpan w:val="2"/>
            <w:tcBorders>
              <w:top w:val="nil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6CB57E95" w14:textId="77411CE6" w:rsidR="000824FA" w:rsidRPr="002A3400" w:rsidRDefault="000824FA" w:rsidP="002A340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A3400">
              <w:rPr>
                <w:rFonts w:ascii="Arial" w:hAnsi="Arial" w:cs="Arial"/>
                <w:sz w:val="22"/>
                <w:szCs w:val="22"/>
              </w:rPr>
              <w:t>Registration and Plenary Session</w:t>
            </w:r>
          </w:p>
        </w:tc>
      </w:tr>
      <w:tr w:rsidR="000824FA" w:rsidRPr="002D1C4F" w14:paraId="3DF66E5A" w14:textId="77777777" w:rsidTr="002A3400">
        <w:trPr>
          <w:trHeight w:val="146"/>
          <w:jc w:val="center"/>
        </w:trPr>
        <w:tc>
          <w:tcPr>
            <w:tcW w:w="312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E68F203" w14:textId="63807C04" w:rsidR="000824FA" w:rsidRPr="002A3400" w:rsidRDefault="00F30C2A" w:rsidP="00F30C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 – 1145 </w:t>
            </w:r>
          </w:p>
        </w:tc>
        <w:tc>
          <w:tcPr>
            <w:tcW w:w="607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3E6EDBE3" w14:textId="0FC6E006" w:rsidR="000824FA" w:rsidRPr="002A3400" w:rsidRDefault="000824FA" w:rsidP="002A340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A3400">
              <w:rPr>
                <w:rFonts w:ascii="Arial" w:hAnsi="Arial" w:cs="Arial"/>
                <w:sz w:val="22"/>
                <w:szCs w:val="22"/>
              </w:rPr>
              <w:t>Exercise Conduct: Phase I and II</w:t>
            </w:r>
          </w:p>
        </w:tc>
      </w:tr>
      <w:tr w:rsidR="000824FA" w:rsidRPr="002D1C4F" w14:paraId="47D809C9" w14:textId="77777777" w:rsidTr="002A3400">
        <w:trPr>
          <w:trHeight w:val="146"/>
          <w:jc w:val="center"/>
        </w:trPr>
        <w:tc>
          <w:tcPr>
            <w:tcW w:w="312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904159F" w14:textId="532291CC" w:rsidR="000824FA" w:rsidRPr="002A3400" w:rsidRDefault="00F30C2A" w:rsidP="00F30C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1145 – 1245 </w:t>
            </w:r>
          </w:p>
        </w:tc>
        <w:tc>
          <w:tcPr>
            <w:tcW w:w="607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1CBE33DB" w14:textId="4C5D9C2A" w:rsidR="000824FA" w:rsidRPr="002A3400" w:rsidRDefault="000824FA" w:rsidP="002A340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A3400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0824FA" w:rsidRPr="002D1C4F" w14:paraId="4B548420" w14:textId="77777777" w:rsidTr="002A3400">
        <w:trPr>
          <w:trHeight w:val="153"/>
          <w:jc w:val="center"/>
        </w:trPr>
        <w:tc>
          <w:tcPr>
            <w:tcW w:w="312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ACF3C38" w14:textId="146B6F55" w:rsidR="000824FA" w:rsidRPr="002A3400" w:rsidRDefault="00F30C2A" w:rsidP="00F30C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1245 – 1430 </w:t>
            </w:r>
          </w:p>
        </w:tc>
        <w:tc>
          <w:tcPr>
            <w:tcW w:w="607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7B4619B1" w14:textId="40B260C9" w:rsidR="000824FA" w:rsidRPr="002A3400" w:rsidRDefault="000824FA" w:rsidP="002A340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A3400">
              <w:rPr>
                <w:rFonts w:ascii="Arial" w:hAnsi="Arial" w:cs="Arial"/>
                <w:sz w:val="22"/>
                <w:szCs w:val="22"/>
              </w:rPr>
              <w:t xml:space="preserve">Exercise Conduct: Phase III and IV </w:t>
            </w:r>
          </w:p>
        </w:tc>
      </w:tr>
      <w:tr w:rsidR="002A3400" w:rsidRPr="002D1C4F" w14:paraId="39AAA5E8" w14:textId="77777777" w:rsidTr="002A3400">
        <w:trPr>
          <w:trHeight w:val="153"/>
          <w:jc w:val="center"/>
        </w:trPr>
        <w:tc>
          <w:tcPr>
            <w:tcW w:w="312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3B15534" w14:textId="789ACCB8" w:rsidR="002A3400" w:rsidRPr="002A3400" w:rsidRDefault="003A6A3A" w:rsidP="00F30C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C2A">
              <w:rPr>
                <w:rFonts w:ascii="Arial" w:hAnsi="Arial" w:cs="Arial"/>
                <w:sz w:val="22"/>
                <w:szCs w:val="22"/>
              </w:rPr>
              <w:t xml:space="preserve">1430 – 1450 </w:t>
            </w:r>
          </w:p>
        </w:tc>
        <w:tc>
          <w:tcPr>
            <w:tcW w:w="607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451E6237" w14:textId="62F1C445" w:rsidR="002A3400" w:rsidRPr="002A3400" w:rsidRDefault="002A3400" w:rsidP="002A340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A3400">
              <w:rPr>
                <w:rFonts w:ascii="Arial" w:hAnsi="Arial" w:cs="Arial"/>
                <w:sz w:val="22"/>
                <w:szCs w:val="22"/>
              </w:rPr>
              <w:t>Hot Wash</w:t>
            </w:r>
          </w:p>
        </w:tc>
      </w:tr>
      <w:tr w:rsidR="000824FA" w:rsidRPr="002D1C4F" w14:paraId="7C165FE9" w14:textId="77777777" w:rsidTr="002A3400">
        <w:trPr>
          <w:trHeight w:val="146"/>
          <w:jc w:val="center"/>
        </w:trPr>
        <w:tc>
          <w:tcPr>
            <w:tcW w:w="3127" w:type="dxa"/>
            <w:tcBorders>
              <w:top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D57BE4A" w14:textId="65AC9B90" w:rsidR="000824FA" w:rsidRPr="002A3400" w:rsidRDefault="003A6A3A" w:rsidP="00F30C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C2A">
              <w:rPr>
                <w:rFonts w:ascii="Arial" w:hAnsi="Arial" w:cs="Arial"/>
                <w:sz w:val="22"/>
                <w:szCs w:val="22"/>
              </w:rPr>
              <w:t xml:space="preserve">1450 – 1500 </w:t>
            </w:r>
          </w:p>
        </w:tc>
        <w:tc>
          <w:tcPr>
            <w:tcW w:w="6079" w:type="dxa"/>
            <w:gridSpan w:val="2"/>
            <w:tcBorders>
              <w:top w:val="single" w:sz="4" w:space="0" w:color="17365D"/>
              <w:left w:val="single" w:sz="4" w:space="0" w:color="17365D"/>
              <w:bottom w:val="single" w:sz="18" w:space="0" w:color="17365D"/>
            </w:tcBorders>
            <w:shd w:val="clear" w:color="auto" w:fill="auto"/>
            <w:vAlign w:val="center"/>
          </w:tcPr>
          <w:p w14:paraId="7A2BC44B" w14:textId="3FD48DDA" w:rsidR="000824FA" w:rsidRPr="002A3400" w:rsidRDefault="000824FA" w:rsidP="002A340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A3400">
              <w:rPr>
                <w:rFonts w:ascii="Arial" w:hAnsi="Arial" w:cs="Arial"/>
                <w:sz w:val="22"/>
                <w:szCs w:val="22"/>
              </w:rPr>
              <w:t>Next Steps &amp; Closing Comments</w:t>
            </w:r>
          </w:p>
        </w:tc>
      </w:tr>
    </w:tbl>
    <w:p w14:paraId="290ABBA7" w14:textId="77777777" w:rsidR="003A6A3A" w:rsidRDefault="003A6A3A" w:rsidP="003A6A3A">
      <w:pPr>
        <w:pStyle w:val="Heading2"/>
        <w:spacing w:before="0" w:after="60"/>
        <w:contextualSpacing/>
        <w:rPr>
          <w:color w:val="002F80"/>
        </w:rPr>
      </w:pPr>
      <w:bookmarkStart w:id="2" w:name="_Toc335992123"/>
      <w:bookmarkStart w:id="3" w:name="_Toc336197855"/>
      <w:bookmarkStart w:id="4" w:name="_Toc336596348"/>
    </w:p>
    <w:p w14:paraId="20764E42" w14:textId="7FAA1F06" w:rsidR="00A43A33" w:rsidRDefault="00FC4975" w:rsidP="003A6A3A">
      <w:pPr>
        <w:pStyle w:val="Heading2"/>
        <w:spacing w:before="0" w:after="60"/>
        <w:contextualSpacing/>
        <w:rPr>
          <w:color w:val="002F80"/>
        </w:rPr>
      </w:pPr>
      <w:r w:rsidRPr="00CF5952">
        <w:rPr>
          <w:color w:val="002F80"/>
        </w:rPr>
        <w:t xml:space="preserve">Exercise </w:t>
      </w:r>
      <w:r w:rsidR="00474859" w:rsidRPr="00CF5952">
        <w:rPr>
          <w:color w:val="002F80"/>
        </w:rPr>
        <w:t>“</w:t>
      </w:r>
      <w:r w:rsidR="00D638CB" w:rsidRPr="00CF5952">
        <w:rPr>
          <w:color w:val="002F80"/>
        </w:rPr>
        <w:t>Player</w:t>
      </w:r>
      <w:r w:rsidR="00474859" w:rsidRPr="00CF5952">
        <w:rPr>
          <w:color w:val="002F80"/>
        </w:rPr>
        <w:t>”</w:t>
      </w:r>
      <w:r w:rsidR="00D638CB" w:rsidRPr="00CF5952">
        <w:rPr>
          <w:color w:val="002F80"/>
        </w:rPr>
        <w:t xml:space="preserve"> </w:t>
      </w:r>
      <w:r w:rsidR="002A3400" w:rsidRPr="00CF5952">
        <w:rPr>
          <w:color w:val="002F80"/>
        </w:rPr>
        <w:t>Registration</w:t>
      </w:r>
      <w:r w:rsidRPr="00CF5952">
        <w:rPr>
          <w:color w:val="002F80"/>
        </w:rPr>
        <w:t xml:space="preserve"> Processes</w:t>
      </w:r>
    </w:p>
    <w:p w14:paraId="43646CC1" w14:textId="77777777" w:rsidR="003A6A3A" w:rsidRDefault="003A6A3A" w:rsidP="003A6A3A"/>
    <w:bookmarkEnd w:id="2"/>
    <w:bookmarkEnd w:id="3"/>
    <w:bookmarkEnd w:id="4"/>
    <w:p w14:paraId="75A4F205" w14:textId="3E84F0C1" w:rsidR="00A43A33" w:rsidRPr="00CF5952" w:rsidRDefault="008D007D" w:rsidP="003A6A3A">
      <w:pPr>
        <w:pStyle w:val="Heading3"/>
        <w:numPr>
          <w:ilvl w:val="0"/>
          <w:numId w:val="14"/>
        </w:numPr>
        <w:spacing w:before="0" w:after="60"/>
        <w:contextualSpacing/>
        <w:rPr>
          <w:color w:val="002F80"/>
        </w:rPr>
      </w:pPr>
      <w:r>
        <w:rPr>
          <w:color w:val="002F80"/>
        </w:rPr>
        <w:t xml:space="preserve">Complete </w:t>
      </w:r>
      <w:r w:rsidR="00D638CB" w:rsidRPr="00CF5952">
        <w:rPr>
          <w:color w:val="002F80"/>
        </w:rPr>
        <w:t xml:space="preserve">Exercise </w:t>
      </w:r>
      <w:r>
        <w:rPr>
          <w:color w:val="002F80"/>
        </w:rPr>
        <w:t>Attendance</w:t>
      </w:r>
      <w:r w:rsidR="00D638CB" w:rsidRPr="00CF5952">
        <w:rPr>
          <w:color w:val="002F80"/>
        </w:rPr>
        <w:t xml:space="preserve"> Registration Process</w:t>
      </w:r>
      <w:r w:rsidR="000A3E6E" w:rsidRPr="00CF5952">
        <w:rPr>
          <w:color w:val="002F80"/>
        </w:rPr>
        <w:t>:</w:t>
      </w:r>
    </w:p>
    <w:p w14:paraId="5CEB12CD" w14:textId="1ADE8481" w:rsidR="00FC307B" w:rsidRDefault="00D638CB" w:rsidP="00FC307B">
      <w:pPr>
        <w:pStyle w:val="BodyText"/>
        <w:spacing w:after="60"/>
        <w:ind w:left="720"/>
        <w:contextualSpacing/>
        <w:rPr>
          <w:rStyle w:val="Hyperlink"/>
        </w:rPr>
      </w:pPr>
      <w:r>
        <w:t>Please register to participate</w:t>
      </w:r>
      <w:r w:rsidR="002A3400">
        <w:t xml:space="preserve"> </w:t>
      </w:r>
      <w:r w:rsidR="008D007D">
        <w:t xml:space="preserve">in the exercise by August </w:t>
      </w:r>
      <w:r w:rsidR="00C15EBF">
        <w:t>8</w:t>
      </w:r>
      <w:r w:rsidR="008D007D">
        <w:t>, 2016</w:t>
      </w:r>
      <w:r w:rsidR="002A3400">
        <w:t xml:space="preserve"> at the following link:</w:t>
      </w:r>
      <w:r w:rsidR="00981093">
        <w:t xml:space="preserve"> </w:t>
      </w:r>
      <w:hyperlink r:id="rId12" w:history="1">
        <w:r w:rsidR="00E34D76" w:rsidRPr="007045C4">
          <w:rPr>
            <w:rStyle w:val="Hyperlink"/>
          </w:rPr>
          <w:t>http://events.constantcontact.com/register/event?llr=zbu8kubab&amp;oeidk=a07ecveqe520d43370c</w:t>
        </w:r>
      </w:hyperlink>
    </w:p>
    <w:p w14:paraId="13FEF5B6" w14:textId="77777777" w:rsidR="003A6A3A" w:rsidRDefault="003A6A3A" w:rsidP="003A6A3A">
      <w:pPr>
        <w:pStyle w:val="BodyText"/>
        <w:spacing w:after="60"/>
        <w:ind w:left="720"/>
        <w:contextualSpacing/>
      </w:pPr>
    </w:p>
    <w:p w14:paraId="1FCC2262" w14:textId="3676F79D" w:rsidR="004059FE" w:rsidRPr="003A6A3A" w:rsidRDefault="008D007D" w:rsidP="003A6A3A">
      <w:pPr>
        <w:pStyle w:val="Heading3"/>
        <w:numPr>
          <w:ilvl w:val="0"/>
          <w:numId w:val="14"/>
        </w:numPr>
        <w:spacing w:before="0" w:after="60"/>
        <w:contextualSpacing/>
        <w:rPr>
          <w:color w:val="002F80"/>
        </w:rPr>
      </w:pPr>
      <w:r>
        <w:rPr>
          <w:color w:val="002F80"/>
        </w:rPr>
        <w:t xml:space="preserve">Complete </w:t>
      </w:r>
      <w:r w:rsidR="004059FE" w:rsidRPr="003A6A3A">
        <w:rPr>
          <w:color w:val="002F80"/>
        </w:rPr>
        <w:t xml:space="preserve">SISE (Sensitive Information Sharing Environment) </w:t>
      </w:r>
      <w:r w:rsidR="00EF44A1" w:rsidRPr="003A6A3A">
        <w:rPr>
          <w:color w:val="002F80"/>
        </w:rPr>
        <w:t>Registration Process</w:t>
      </w:r>
      <w:r w:rsidR="000A3E6E" w:rsidRPr="003A6A3A">
        <w:rPr>
          <w:color w:val="002F80"/>
        </w:rPr>
        <w:t>:</w:t>
      </w:r>
    </w:p>
    <w:p w14:paraId="754FD2F4" w14:textId="28D97139" w:rsidR="004059FE" w:rsidRDefault="004059FE" w:rsidP="003A6A3A">
      <w:pPr>
        <w:pStyle w:val="BodyText"/>
        <w:spacing w:after="60"/>
        <w:ind w:left="720"/>
        <w:contextualSpacing/>
      </w:pPr>
      <w:r>
        <w:t>Please pre-register to access SISE tool</w:t>
      </w:r>
      <w:r w:rsidR="00FC4975">
        <w:t>s</w:t>
      </w:r>
      <w:r w:rsidR="008D007D">
        <w:t xml:space="preserve"> by A</w:t>
      </w:r>
      <w:r w:rsidR="00C15EBF">
        <w:t>ugust 8</w:t>
      </w:r>
      <w:r w:rsidR="008D007D">
        <w:t>, 2016</w:t>
      </w:r>
      <w:r>
        <w:t xml:space="preserve"> using the following process: </w:t>
      </w:r>
    </w:p>
    <w:p w14:paraId="053A63D5" w14:textId="271300BF" w:rsidR="004059FE" w:rsidRPr="000A3E6E" w:rsidRDefault="004059FE" w:rsidP="003A6A3A">
      <w:pPr>
        <w:pStyle w:val="NormalWeb"/>
        <w:numPr>
          <w:ilvl w:val="0"/>
          <w:numId w:val="9"/>
        </w:numPr>
        <w:spacing w:before="0" w:beforeAutospacing="0" w:after="60" w:afterAutospacing="0"/>
        <w:contextualSpacing/>
      </w:pPr>
      <w:r w:rsidRPr="000A3E6E">
        <w:t xml:space="preserve">Link to SISE </w:t>
      </w:r>
      <w:r w:rsidR="00474859">
        <w:t xml:space="preserve">Portal Webpage </w:t>
      </w:r>
      <w:r w:rsidRPr="000A3E6E">
        <w:t xml:space="preserve">at </w:t>
      </w:r>
      <w:hyperlink r:id="rId13" w:history="1">
        <w:r w:rsidRPr="000A3E6E">
          <w:rPr>
            <w:rStyle w:val="Hyperlink"/>
          </w:rPr>
          <w:t>http://ahcportal.skylinecsg.com/site/login</w:t>
        </w:r>
      </w:hyperlink>
    </w:p>
    <w:p w14:paraId="2C149807" w14:textId="6BA7CA3E" w:rsidR="004059FE" w:rsidRPr="00C15EBF" w:rsidRDefault="004059FE" w:rsidP="003A6A3A">
      <w:pPr>
        <w:pStyle w:val="NormalWeb"/>
        <w:numPr>
          <w:ilvl w:val="1"/>
          <w:numId w:val="9"/>
        </w:numPr>
        <w:spacing w:before="0" w:beforeAutospacing="0" w:after="60" w:afterAutospacing="0"/>
        <w:contextualSpacing/>
        <w:rPr>
          <w:b/>
        </w:rPr>
      </w:pPr>
      <w:r w:rsidRPr="00C15EBF">
        <w:rPr>
          <w:b/>
        </w:rPr>
        <w:t xml:space="preserve">First Time </w:t>
      </w:r>
      <w:r w:rsidR="00C15EBF">
        <w:rPr>
          <w:b/>
        </w:rPr>
        <w:t xml:space="preserve">SISE </w:t>
      </w:r>
      <w:r w:rsidRPr="00C15EBF">
        <w:rPr>
          <w:b/>
        </w:rPr>
        <w:t>Users</w:t>
      </w:r>
    </w:p>
    <w:p w14:paraId="2D19207B" w14:textId="1A62A48A" w:rsidR="004059FE" w:rsidRPr="00C15EBF" w:rsidRDefault="004059FE" w:rsidP="003A6A3A">
      <w:pPr>
        <w:pStyle w:val="NormalWeb"/>
        <w:numPr>
          <w:ilvl w:val="2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 xml:space="preserve">CLICK on </w:t>
      </w:r>
      <w:r w:rsidR="00474859" w:rsidRPr="00C15EBF">
        <w:rPr>
          <w:sz w:val="22"/>
        </w:rPr>
        <w:t>above link to c</w:t>
      </w:r>
      <w:r w:rsidRPr="00C15EBF">
        <w:rPr>
          <w:sz w:val="22"/>
        </w:rPr>
        <w:t xml:space="preserve">reate </w:t>
      </w:r>
      <w:r w:rsidR="00474859" w:rsidRPr="00C15EBF">
        <w:rPr>
          <w:sz w:val="22"/>
        </w:rPr>
        <w:t>your personal SISE a</w:t>
      </w:r>
      <w:r w:rsidRPr="00C15EBF">
        <w:rPr>
          <w:sz w:val="22"/>
        </w:rPr>
        <w:t>ccount</w:t>
      </w:r>
    </w:p>
    <w:p w14:paraId="37FFE3A7" w14:textId="1CE53DC1" w:rsidR="004059FE" w:rsidRPr="00C15EBF" w:rsidRDefault="004059FE" w:rsidP="003A6A3A">
      <w:pPr>
        <w:pStyle w:val="NormalWeb"/>
        <w:numPr>
          <w:ilvl w:val="2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 xml:space="preserve">Fill in </w:t>
      </w:r>
      <w:r w:rsidR="00474859" w:rsidRPr="00C15EBF">
        <w:rPr>
          <w:sz w:val="22"/>
        </w:rPr>
        <w:t>the i</w:t>
      </w:r>
      <w:r w:rsidRPr="00C15EBF">
        <w:rPr>
          <w:sz w:val="22"/>
        </w:rPr>
        <w:t>nformation</w:t>
      </w:r>
      <w:r w:rsidR="00474859" w:rsidRPr="00C15EBF">
        <w:rPr>
          <w:sz w:val="22"/>
        </w:rPr>
        <w:t xml:space="preserve"> on webform</w:t>
      </w:r>
    </w:p>
    <w:p w14:paraId="6ECD56C1" w14:textId="47F03297" w:rsidR="004059FE" w:rsidRPr="00C15EBF" w:rsidRDefault="00474859" w:rsidP="003A6A3A">
      <w:pPr>
        <w:pStyle w:val="NormalWeb"/>
        <w:numPr>
          <w:ilvl w:val="3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 xml:space="preserve">Choose a sponsor from the “pull down menu” </w:t>
      </w:r>
    </w:p>
    <w:p w14:paraId="56862931" w14:textId="4615B9E7" w:rsidR="004059FE" w:rsidRPr="00C15EBF" w:rsidRDefault="004059FE" w:rsidP="003A6A3A">
      <w:pPr>
        <w:pStyle w:val="NormalWeb"/>
        <w:numPr>
          <w:ilvl w:val="2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>You should get an email within 24 h</w:t>
      </w:r>
      <w:r w:rsidR="00CF5952" w:rsidRPr="00C15EBF">
        <w:rPr>
          <w:sz w:val="22"/>
        </w:rPr>
        <w:t>ou</w:t>
      </w:r>
      <w:r w:rsidRPr="00C15EBF">
        <w:rPr>
          <w:sz w:val="22"/>
        </w:rPr>
        <w:t xml:space="preserve">rs once you are approved </w:t>
      </w:r>
      <w:r w:rsidR="00474859" w:rsidRPr="00C15EBF">
        <w:rPr>
          <w:sz w:val="22"/>
        </w:rPr>
        <w:t xml:space="preserve">by your sponsor </w:t>
      </w:r>
      <w:r w:rsidRPr="00C15EBF">
        <w:rPr>
          <w:sz w:val="22"/>
        </w:rPr>
        <w:t xml:space="preserve">(check </w:t>
      </w:r>
      <w:r w:rsidR="00474859" w:rsidRPr="00C15EBF">
        <w:rPr>
          <w:sz w:val="22"/>
        </w:rPr>
        <w:t xml:space="preserve">your </w:t>
      </w:r>
      <w:r w:rsidRPr="00C15EBF">
        <w:rPr>
          <w:sz w:val="22"/>
        </w:rPr>
        <w:t>SPAM filters</w:t>
      </w:r>
      <w:r w:rsidR="00474859" w:rsidRPr="00C15EBF">
        <w:rPr>
          <w:sz w:val="22"/>
        </w:rPr>
        <w:t xml:space="preserve"> too</w:t>
      </w:r>
      <w:r w:rsidRPr="00C15EBF">
        <w:rPr>
          <w:sz w:val="22"/>
        </w:rPr>
        <w:t>)</w:t>
      </w:r>
    </w:p>
    <w:p w14:paraId="73E71909" w14:textId="57F13F23" w:rsidR="004059FE" w:rsidRPr="00C15EBF" w:rsidRDefault="004059FE" w:rsidP="003A6A3A">
      <w:pPr>
        <w:pStyle w:val="NormalWeb"/>
        <w:numPr>
          <w:ilvl w:val="2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 xml:space="preserve">Once approved, </w:t>
      </w:r>
      <w:r w:rsidR="00474859" w:rsidRPr="00C15EBF">
        <w:rPr>
          <w:sz w:val="22"/>
        </w:rPr>
        <w:t xml:space="preserve">return to SISE Portal </w:t>
      </w:r>
      <w:r w:rsidRPr="00C15EBF">
        <w:rPr>
          <w:sz w:val="22"/>
        </w:rPr>
        <w:t>and login in using your email, password and cell phone</w:t>
      </w:r>
    </w:p>
    <w:p w14:paraId="03B85F1E" w14:textId="3D8036B7" w:rsidR="004059FE" w:rsidRPr="00C15EBF" w:rsidRDefault="00A04D72" w:rsidP="003A6A3A">
      <w:pPr>
        <w:pStyle w:val="NormalWeb"/>
        <w:numPr>
          <w:ilvl w:val="3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 xml:space="preserve">You will get a cell phone text message </w:t>
      </w:r>
      <w:r w:rsidR="004059FE" w:rsidRPr="00C15EBF">
        <w:rPr>
          <w:sz w:val="22"/>
        </w:rPr>
        <w:t xml:space="preserve">each time </w:t>
      </w:r>
      <w:proofErr w:type="gramStart"/>
      <w:r w:rsidR="004059FE" w:rsidRPr="00C15EBF">
        <w:rPr>
          <w:sz w:val="22"/>
        </w:rPr>
        <w:t>you</w:t>
      </w:r>
      <w:proofErr w:type="gramEnd"/>
      <w:r w:rsidR="004059FE" w:rsidRPr="00C15EBF">
        <w:rPr>
          <w:sz w:val="22"/>
        </w:rPr>
        <w:t xml:space="preserve"> login </w:t>
      </w:r>
      <w:r w:rsidR="00474859" w:rsidRPr="00C15EBF">
        <w:rPr>
          <w:sz w:val="22"/>
        </w:rPr>
        <w:t xml:space="preserve">in order for SISE portal </w:t>
      </w:r>
      <w:r w:rsidR="004059FE" w:rsidRPr="00C15EBF">
        <w:rPr>
          <w:sz w:val="22"/>
        </w:rPr>
        <w:t>to validate your identity</w:t>
      </w:r>
    </w:p>
    <w:p w14:paraId="5325A44A" w14:textId="5B08A246" w:rsidR="004059FE" w:rsidRPr="00C15EBF" w:rsidRDefault="004059FE" w:rsidP="003A6A3A">
      <w:pPr>
        <w:pStyle w:val="NormalWeb"/>
        <w:numPr>
          <w:ilvl w:val="1"/>
          <w:numId w:val="9"/>
        </w:numPr>
        <w:spacing w:before="0" w:beforeAutospacing="0" w:after="60" w:afterAutospacing="0"/>
        <w:contextualSpacing/>
        <w:rPr>
          <w:b/>
        </w:rPr>
      </w:pPr>
      <w:r w:rsidRPr="00C15EBF">
        <w:rPr>
          <w:b/>
        </w:rPr>
        <w:t xml:space="preserve">For </w:t>
      </w:r>
      <w:r w:rsidR="00C15EBF">
        <w:rPr>
          <w:b/>
        </w:rPr>
        <w:t xml:space="preserve">Already </w:t>
      </w:r>
      <w:r w:rsidRPr="00C15EBF">
        <w:rPr>
          <w:b/>
        </w:rPr>
        <w:t xml:space="preserve">Registered </w:t>
      </w:r>
      <w:r w:rsidR="00C15EBF">
        <w:rPr>
          <w:b/>
        </w:rPr>
        <w:t xml:space="preserve">SISE </w:t>
      </w:r>
      <w:r w:rsidRPr="00C15EBF">
        <w:rPr>
          <w:b/>
        </w:rPr>
        <w:t>Users</w:t>
      </w:r>
    </w:p>
    <w:p w14:paraId="661C9308" w14:textId="72F94A6C" w:rsidR="004059FE" w:rsidRPr="00C15EBF" w:rsidRDefault="004059FE" w:rsidP="003A6A3A">
      <w:pPr>
        <w:pStyle w:val="NormalWeb"/>
        <w:numPr>
          <w:ilvl w:val="2"/>
          <w:numId w:val="9"/>
        </w:numPr>
        <w:spacing w:before="0" w:beforeAutospacing="0" w:after="60" w:afterAutospacing="0"/>
        <w:contextualSpacing/>
        <w:rPr>
          <w:sz w:val="22"/>
        </w:rPr>
      </w:pPr>
      <w:r w:rsidRPr="00C15EBF">
        <w:rPr>
          <w:sz w:val="22"/>
        </w:rPr>
        <w:t xml:space="preserve">Simply </w:t>
      </w:r>
      <w:r w:rsidR="00474859" w:rsidRPr="00C15EBF">
        <w:rPr>
          <w:sz w:val="22"/>
        </w:rPr>
        <w:t xml:space="preserve">go to SISE Portal webpage </w:t>
      </w:r>
      <w:r w:rsidRPr="00C15EBF">
        <w:rPr>
          <w:sz w:val="22"/>
        </w:rPr>
        <w:t>login in using you email, password and cell #</w:t>
      </w:r>
    </w:p>
    <w:p w14:paraId="57F3D1DB" w14:textId="76603D6C" w:rsidR="004059FE" w:rsidRPr="00CF5952" w:rsidRDefault="004059FE" w:rsidP="002732DC">
      <w:pPr>
        <w:pStyle w:val="Heading2"/>
        <w:spacing w:before="0" w:after="120"/>
        <w:rPr>
          <w:color w:val="002F80"/>
        </w:rPr>
      </w:pPr>
      <w:r w:rsidRPr="00CF5952">
        <w:rPr>
          <w:color w:val="002F80"/>
        </w:rPr>
        <w:lastRenderedPageBreak/>
        <w:t>References</w:t>
      </w:r>
    </w:p>
    <w:p w14:paraId="761D7C17" w14:textId="17F45A9C" w:rsidR="00A9519E" w:rsidRDefault="000A3E6E" w:rsidP="00CF5952">
      <w:pPr>
        <w:pStyle w:val="Heading3"/>
        <w:spacing w:before="0" w:after="120"/>
        <w:rPr>
          <w:color w:val="002F80"/>
        </w:rPr>
      </w:pPr>
      <w:r w:rsidRPr="00CF5952">
        <w:rPr>
          <w:color w:val="002F80"/>
        </w:rPr>
        <w:t>AHC / FRWG Technology and Services</w:t>
      </w:r>
      <w:r w:rsidR="00C15EBF">
        <w:rPr>
          <w:color w:val="002F80"/>
        </w:rPr>
        <w:t xml:space="preserve"> </w:t>
      </w:r>
      <w:proofErr w:type="gramStart"/>
      <w:r w:rsidR="00C15EBF">
        <w:rPr>
          <w:color w:val="002F80"/>
        </w:rPr>
        <w:t>To</w:t>
      </w:r>
      <w:proofErr w:type="gramEnd"/>
      <w:r w:rsidR="00C15EBF">
        <w:rPr>
          <w:color w:val="002F80"/>
        </w:rPr>
        <w:t xml:space="preserve"> Be Tested</w:t>
      </w:r>
      <w:r w:rsidR="001C2497">
        <w:rPr>
          <w:color w:val="002F80"/>
        </w:rPr>
        <w:t xml:space="preserve"> </w:t>
      </w:r>
    </w:p>
    <w:p w14:paraId="1444D9C8" w14:textId="76D08D31" w:rsidR="001C2497" w:rsidRDefault="001C2497" w:rsidP="008A4BA0">
      <w:r>
        <w:t xml:space="preserve">URL: </w:t>
      </w:r>
      <w:hyperlink r:id="rId14" w:history="1">
        <w:r w:rsidRPr="00100D87">
          <w:rPr>
            <w:rStyle w:val="Hyperlink"/>
          </w:rPr>
          <w:t>http://www.ahcusa.org/catex-2016-tools-tested.html</w:t>
        </w:r>
      </w:hyperlink>
    </w:p>
    <w:p w14:paraId="1CD9D81E" w14:textId="77777777" w:rsidR="001C2497" w:rsidRPr="008A4BA0" w:rsidRDefault="001C2497" w:rsidP="008A4BA0"/>
    <w:p w14:paraId="45FDDD69" w14:textId="65215C08" w:rsidR="00C15EBF" w:rsidRDefault="00883356" w:rsidP="00CF5952">
      <w:pPr>
        <w:pStyle w:val="BodyText"/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51B41" wp14:editId="00AD3ABE">
            <wp:simplePos x="0" y="0"/>
            <wp:positionH relativeFrom="margin">
              <wp:posOffset>4290060</wp:posOffset>
            </wp:positionH>
            <wp:positionV relativeFrom="paragraph">
              <wp:posOffset>30480</wp:posOffset>
            </wp:positionV>
            <wp:extent cx="2339340" cy="109744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C portal pic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0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D7903" w14:textId="2D279131" w:rsidR="00C15EBF" w:rsidRPr="00883356" w:rsidRDefault="00C15EBF" w:rsidP="00C15EBF">
      <w:pPr>
        <w:pStyle w:val="BodyText"/>
        <w:numPr>
          <w:ilvl w:val="0"/>
          <w:numId w:val="16"/>
        </w:numPr>
        <w:spacing w:after="120"/>
        <w:rPr>
          <w:b/>
          <w:u w:val="single"/>
        </w:rPr>
      </w:pPr>
      <w:r w:rsidRPr="00883356">
        <w:rPr>
          <w:b/>
          <w:u w:val="single"/>
        </w:rPr>
        <w:t>SISE (Sensitive Information Sharing Environment) Portal</w:t>
      </w:r>
    </w:p>
    <w:p w14:paraId="61E0FC98" w14:textId="7D278BE4" w:rsidR="000A3E6E" w:rsidRDefault="00883356" w:rsidP="00CF26A5">
      <w:pPr>
        <w:pStyle w:val="BodyText"/>
        <w:numPr>
          <w:ilvl w:val="0"/>
          <w:numId w:val="11"/>
        </w:numPr>
        <w:spacing w:after="120"/>
      </w:pPr>
      <w:r>
        <w:t xml:space="preserve">SISE </w:t>
      </w:r>
      <w:r w:rsidR="00C15EBF">
        <w:t xml:space="preserve">Enrollment: </w:t>
      </w:r>
      <w:hyperlink r:id="rId16" w:history="1">
        <w:r w:rsidR="00C86D4E" w:rsidRPr="008D007D">
          <w:rPr>
            <w:rStyle w:val="Hyperlink"/>
          </w:rPr>
          <w:t>http://ahcportal.skylinecsg.com/site/login</w:t>
        </w:r>
      </w:hyperlink>
      <w:r w:rsidR="00C86D4E" w:rsidRPr="008D007D">
        <w:t xml:space="preserve"> </w:t>
      </w:r>
    </w:p>
    <w:p w14:paraId="78B68536" w14:textId="25AAD61F" w:rsidR="00C15EBF" w:rsidRDefault="00C15EBF" w:rsidP="00C15EBF">
      <w:pPr>
        <w:pStyle w:val="BodyText"/>
        <w:numPr>
          <w:ilvl w:val="0"/>
          <w:numId w:val="11"/>
        </w:numPr>
        <w:spacing w:after="120"/>
      </w:pPr>
      <w:r>
        <w:t>SISE Portal</w:t>
      </w:r>
      <w:r w:rsidR="00883356">
        <w:t xml:space="preserve"> Access</w:t>
      </w:r>
      <w:r>
        <w:t xml:space="preserve">: </w:t>
      </w:r>
      <w:hyperlink r:id="rId17" w:history="1">
        <w:r w:rsidRPr="00AA12E5">
          <w:rPr>
            <w:rStyle w:val="Hyperlink"/>
          </w:rPr>
          <w:t>http://ahcportal.skylinecsg.com:90/</w:t>
        </w:r>
      </w:hyperlink>
    </w:p>
    <w:p w14:paraId="7AEB880D" w14:textId="2FEB1E67" w:rsidR="00C15EBF" w:rsidRPr="00883356" w:rsidRDefault="00C15EBF" w:rsidP="00883356">
      <w:pPr>
        <w:pStyle w:val="BodyText"/>
        <w:spacing w:after="120"/>
        <w:ind w:left="360"/>
        <w:rPr>
          <w:b/>
          <w:u w:val="single"/>
        </w:rPr>
      </w:pPr>
    </w:p>
    <w:p w14:paraId="1125DF50" w14:textId="49BF8DAF" w:rsidR="00C15EBF" w:rsidRPr="00883356" w:rsidRDefault="00C15EBF" w:rsidP="00C15EBF">
      <w:pPr>
        <w:pStyle w:val="BodyText"/>
        <w:numPr>
          <w:ilvl w:val="0"/>
          <w:numId w:val="16"/>
        </w:numPr>
        <w:spacing w:after="120"/>
        <w:rPr>
          <w:b/>
          <w:u w:val="single"/>
        </w:rPr>
      </w:pPr>
      <w:r w:rsidRPr="00883356">
        <w:rPr>
          <w:b/>
          <w:u w:val="single"/>
        </w:rPr>
        <w:t>GeoCollaborate Technology</w:t>
      </w:r>
    </w:p>
    <w:p w14:paraId="7D985A67" w14:textId="076A24C3" w:rsidR="00883356" w:rsidRDefault="00883356" w:rsidP="00353F87">
      <w:pPr>
        <w:pStyle w:val="BodyText"/>
        <w:numPr>
          <w:ilvl w:val="0"/>
          <w:numId w:val="11"/>
        </w:numPr>
        <w:spacing w:after="120"/>
      </w:pPr>
      <w:r w:rsidRPr="008D007D">
        <w:t>Regional GeoCollaboration Tool Access</w:t>
      </w:r>
      <w:r>
        <w:t xml:space="preserve">: </w:t>
      </w:r>
      <w:hyperlink r:id="rId18" w:history="1">
        <w:r w:rsidRPr="008D007D">
          <w:rPr>
            <w:rStyle w:val="Hyperlink"/>
          </w:rPr>
          <w:t>https://frwg.geocollaborate.com/</w:t>
        </w:r>
      </w:hyperlink>
      <w:r w:rsidRPr="008D007D">
        <w:t xml:space="preserve"> </w:t>
      </w:r>
    </w:p>
    <w:p w14:paraId="33D7496F" w14:textId="150837E1" w:rsidR="00883356" w:rsidRPr="008D007D" w:rsidRDefault="00883356" w:rsidP="00353F87">
      <w:pPr>
        <w:pStyle w:val="BodyText"/>
        <w:numPr>
          <w:ilvl w:val="0"/>
          <w:numId w:val="11"/>
        </w:numPr>
        <w:spacing w:after="120"/>
      </w:pPr>
      <w:r>
        <w:t xml:space="preserve">GeoCollaborate Daily Dashboard: </w:t>
      </w:r>
      <w:hyperlink r:id="rId19" w:history="1">
        <w:r w:rsidRPr="008D007D">
          <w:rPr>
            <w:rStyle w:val="Hyperlink"/>
          </w:rPr>
          <w:t>https://frwg.geocollaborate.com/offline/</w:t>
        </w:r>
      </w:hyperlink>
      <w:r>
        <w:rPr>
          <w:rStyle w:val="Hyperlink"/>
        </w:rPr>
        <w:br/>
      </w:r>
    </w:p>
    <w:p w14:paraId="5ABB1AAD" w14:textId="497AB12A" w:rsidR="00C15EBF" w:rsidRPr="00883356" w:rsidRDefault="00C15EBF" w:rsidP="00883356">
      <w:pPr>
        <w:pStyle w:val="BodyText"/>
        <w:numPr>
          <w:ilvl w:val="0"/>
          <w:numId w:val="16"/>
        </w:numPr>
        <w:spacing w:after="120"/>
        <w:rPr>
          <w:b/>
          <w:u w:val="single"/>
        </w:rPr>
      </w:pPr>
      <w:r w:rsidRPr="00883356">
        <w:rPr>
          <w:b/>
          <w:u w:val="single"/>
        </w:rPr>
        <w:t>Services</w:t>
      </w:r>
    </w:p>
    <w:p w14:paraId="1BF755B3" w14:textId="74D132C3" w:rsidR="00A92864" w:rsidRPr="00883356" w:rsidRDefault="000A3E6E" w:rsidP="00883356">
      <w:pPr>
        <w:pStyle w:val="ListParagraph"/>
        <w:numPr>
          <w:ilvl w:val="0"/>
          <w:numId w:val="11"/>
        </w:numPr>
        <w:spacing w:before="120" w:after="120"/>
        <w:rPr>
          <w:rStyle w:val="Hyperlink"/>
          <w:color w:val="auto"/>
          <w:u w:val="none"/>
        </w:rPr>
      </w:pPr>
      <w:r w:rsidRPr="00883356">
        <w:rPr>
          <w:rFonts w:ascii="Times New Roman" w:hAnsi="Times New Roman" w:cs="Times New Roman"/>
        </w:rPr>
        <w:t xml:space="preserve">Fleet Open/Closed </w:t>
      </w:r>
      <w:r w:rsidR="00EF44A1" w:rsidRPr="00883356">
        <w:rPr>
          <w:rFonts w:ascii="Times New Roman" w:hAnsi="Times New Roman" w:cs="Times New Roman"/>
        </w:rPr>
        <w:t>for Locating Essential Services</w:t>
      </w:r>
      <w:r w:rsidR="00883356">
        <w:rPr>
          <w:rFonts w:ascii="Times New Roman" w:hAnsi="Times New Roman" w:cs="Times New Roman"/>
        </w:rPr>
        <w:t xml:space="preserve"> </w:t>
      </w:r>
      <w:r w:rsidR="00EF44A1" w:rsidRPr="00883356">
        <w:rPr>
          <w:rFonts w:ascii="Times New Roman" w:hAnsi="Times New Roman" w:cs="Times New Roman"/>
        </w:rPr>
        <w:t>During Disasters</w:t>
      </w:r>
      <w:r w:rsidR="00883356" w:rsidRPr="00883356">
        <w:rPr>
          <w:rFonts w:ascii="Times New Roman" w:hAnsi="Times New Roman" w:cs="Times New Roman"/>
        </w:rPr>
        <w:t xml:space="preserve">: </w:t>
      </w:r>
      <w:hyperlink r:id="rId20" w:history="1">
        <w:r w:rsidR="00EF44A1" w:rsidRPr="00883356">
          <w:rPr>
            <w:rStyle w:val="Hyperlink"/>
            <w:rFonts w:ascii="Times New Roman" w:hAnsi="Times New Roman" w:cs="Times New Roman"/>
          </w:rPr>
          <w:t>www.fleetopenclosed.org</w:t>
        </w:r>
      </w:hyperlink>
    </w:p>
    <w:p w14:paraId="5C22D011" w14:textId="77DD23CB" w:rsidR="007822FC" w:rsidRPr="00883356" w:rsidRDefault="007822FC" w:rsidP="00E91D66">
      <w:pPr>
        <w:pStyle w:val="ListParagraph"/>
        <w:numPr>
          <w:ilvl w:val="0"/>
          <w:numId w:val="11"/>
        </w:numPr>
        <w:spacing w:before="120" w:after="120"/>
        <w:rPr>
          <w:rStyle w:val="Hyperlink"/>
          <w:color w:val="auto"/>
          <w:u w:val="none"/>
        </w:rPr>
      </w:pPr>
      <w:r w:rsidRPr="00883356">
        <w:rPr>
          <w:rFonts w:ascii="Times New Roman" w:hAnsi="Times New Roman" w:cs="Times New Roman"/>
        </w:rPr>
        <w:t>Storm Central</w:t>
      </w:r>
      <w:r w:rsidR="00883356">
        <w:rPr>
          <w:rFonts w:ascii="Times New Roman" w:hAnsi="Times New Roman" w:cs="Times New Roman"/>
        </w:rPr>
        <w:t xml:space="preserve"> for centralized emergency declarations:</w:t>
      </w:r>
      <w:r w:rsidRPr="008D007D">
        <w:t xml:space="preserve"> </w:t>
      </w:r>
      <w:hyperlink r:id="rId21" w:history="1">
        <w:r w:rsidRPr="00883356">
          <w:rPr>
            <w:rStyle w:val="Hyperlink"/>
            <w:rFonts w:ascii="Times New Roman" w:hAnsi="Times New Roman" w:cs="Times New Roman"/>
          </w:rPr>
          <w:t>http://www.ahcusa.org/storm-central.html</w:t>
        </w:r>
      </w:hyperlink>
    </w:p>
    <w:p w14:paraId="64AA9885" w14:textId="77777777" w:rsidR="002732DC" w:rsidRDefault="002732DC" w:rsidP="00CF5952">
      <w:pPr>
        <w:pStyle w:val="Heading3"/>
        <w:spacing w:before="0" w:after="120"/>
        <w:rPr>
          <w:color w:val="002F80"/>
        </w:rPr>
      </w:pPr>
    </w:p>
    <w:p w14:paraId="0178C2A1" w14:textId="5063FE99" w:rsidR="00A9519E" w:rsidRPr="00883356" w:rsidRDefault="00CF5952" w:rsidP="00CF5952">
      <w:pPr>
        <w:pStyle w:val="Heading3"/>
        <w:spacing w:before="0" w:after="120"/>
        <w:rPr>
          <w:color w:val="002F80"/>
          <w:sz w:val="28"/>
        </w:rPr>
      </w:pPr>
      <w:r w:rsidRPr="00883356">
        <w:rPr>
          <w:color w:val="002F80"/>
          <w:sz w:val="28"/>
        </w:rPr>
        <w:t xml:space="preserve">Processes and </w:t>
      </w:r>
      <w:r w:rsidR="000A3E6E" w:rsidRPr="00883356">
        <w:rPr>
          <w:color w:val="002F80"/>
          <w:sz w:val="28"/>
        </w:rPr>
        <w:t>Guidance</w:t>
      </w:r>
      <w:r w:rsidR="00C15EBF" w:rsidRPr="00883356">
        <w:rPr>
          <w:color w:val="002F80"/>
          <w:sz w:val="28"/>
        </w:rPr>
        <w:t xml:space="preserve"> </w:t>
      </w:r>
      <w:proofErr w:type="gramStart"/>
      <w:r w:rsidR="00C15EBF" w:rsidRPr="00883356">
        <w:rPr>
          <w:color w:val="002F80"/>
          <w:sz w:val="28"/>
        </w:rPr>
        <w:t>To</w:t>
      </w:r>
      <w:proofErr w:type="gramEnd"/>
      <w:r w:rsidR="00C15EBF" w:rsidRPr="00883356">
        <w:rPr>
          <w:color w:val="002F80"/>
          <w:sz w:val="28"/>
        </w:rPr>
        <w:t xml:space="preserve"> Be Tested</w:t>
      </w:r>
    </w:p>
    <w:p w14:paraId="384078DB" w14:textId="77777777" w:rsidR="000866C7" w:rsidRDefault="00C86D4E" w:rsidP="000866C7">
      <w:pPr>
        <w:pStyle w:val="BodyText"/>
        <w:numPr>
          <w:ilvl w:val="0"/>
          <w:numId w:val="22"/>
        </w:numPr>
        <w:spacing w:after="120"/>
      </w:pPr>
      <w:r>
        <w:t xml:space="preserve">AHC / FRWG </w:t>
      </w:r>
      <w:r w:rsidRPr="00C86D4E">
        <w:t>Disaster Response Tools</w:t>
      </w:r>
      <w:r w:rsidR="00883356">
        <w:t xml:space="preserve"> Website: </w:t>
      </w:r>
    </w:p>
    <w:p w14:paraId="3F44A6B7" w14:textId="4070CBA7" w:rsidR="00C86D4E" w:rsidRDefault="0083116D" w:rsidP="0083116D">
      <w:pPr>
        <w:pStyle w:val="BodyText"/>
        <w:numPr>
          <w:ilvl w:val="1"/>
          <w:numId w:val="22"/>
        </w:numPr>
        <w:spacing w:after="120"/>
        <w:ind w:left="720"/>
      </w:pPr>
      <w:r>
        <w:t xml:space="preserve">Link: </w:t>
      </w:r>
      <w:hyperlink r:id="rId22" w:history="1">
        <w:r w:rsidR="00C86D4E" w:rsidRPr="00434B40">
          <w:rPr>
            <w:rStyle w:val="Hyperlink"/>
          </w:rPr>
          <w:t>http://www.fleetresponse.org/resources/hurricane-season/</w:t>
        </w:r>
      </w:hyperlink>
      <w:r w:rsidR="00C86D4E">
        <w:t xml:space="preserve"> </w:t>
      </w:r>
    </w:p>
    <w:p w14:paraId="084C8965" w14:textId="77777777" w:rsidR="00883356" w:rsidRDefault="00883356" w:rsidP="00883356">
      <w:pPr>
        <w:pStyle w:val="BodyText"/>
        <w:spacing w:after="120"/>
        <w:ind w:left="360"/>
      </w:pPr>
    </w:p>
    <w:p w14:paraId="1F7A2444" w14:textId="5DB92DAC" w:rsidR="00A92864" w:rsidRDefault="00A92864" w:rsidP="00883356">
      <w:pPr>
        <w:pStyle w:val="BodyText"/>
        <w:numPr>
          <w:ilvl w:val="0"/>
          <w:numId w:val="20"/>
        </w:numPr>
        <w:spacing w:after="120"/>
      </w:pPr>
      <w:r>
        <w:t>Regional Fleet Movement Coordination Initiative Overview</w:t>
      </w:r>
      <w:r w:rsidR="00883356">
        <w:t xml:space="preserve"> Process (PDF)</w:t>
      </w:r>
    </w:p>
    <w:p w14:paraId="35F78252" w14:textId="7CC278B4" w:rsidR="00A92864" w:rsidRDefault="00D34E4C" w:rsidP="00CF5952">
      <w:pPr>
        <w:pStyle w:val="BodyText"/>
        <w:numPr>
          <w:ilvl w:val="0"/>
          <w:numId w:val="11"/>
        </w:numPr>
        <w:spacing w:after="120"/>
      </w:pPr>
      <w:r>
        <w:t xml:space="preserve">Link: </w:t>
      </w:r>
      <w:hyperlink r:id="rId23" w:history="1">
        <w:r w:rsidRPr="00434B40">
          <w:rPr>
            <w:rStyle w:val="Hyperlink"/>
          </w:rPr>
          <w:t>http://www.fleetresponse.org/wp-content/uploads/sites/2/2014/07/Fleet_Movement_Coordination_Inititiative_Info_packet_7_3_2014.pdf</w:t>
        </w:r>
      </w:hyperlink>
      <w:r>
        <w:t xml:space="preserve"> </w:t>
      </w:r>
    </w:p>
    <w:p w14:paraId="4B9D96C3" w14:textId="77777777" w:rsidR="0083116D" w:rsidRDefault="0083116D" w:rsidP="0083116D">
      <w:pPr>
        <w:pStyle w:val="BodyText"/>
        <w:spacing w:after="120"/>
        <w:ind w:left="720"/>
      </w:pPr>
    </w:p>
    <w:p w14:paraId="7B425629" w14:textId="1132ACEE" w:rsidR="00A9519E" w:rsidRDefault="00A92864" w:rsidP="00883356">
      <w:pPr>
        <w:pStyle w:val="BodyText"/>
        <w:numPr>
          <w:ilvl w:val="0"/>
          <w:numId w:val="20"/>
        </w:numPr>
        <w:spacing w:after="120"/>
      </w:pPr>
      <w:r>
        <w:t>RMAG Coordination Guide for the Regional Fleet Movement Coordination Process</w:t>
      </w:r>
      <w:r w:rsidR="00883356">
        <w:t xml:space="preserve"> (PDF)</w:t>
      </w:r>
    </w:p>
    <w:p w14:paraId="5338302B" w14:textId="2D2DFD04" w:rsidR="00A92864" w:rsidRDefault="00D34E4C" w:rsidP="00CF5952">
      <w:pPr>
        <w:pStyle w:val="BodyText"/>
        <w:numPr>
          <w:ilvl w:val="0"/>
          <w:numId w:val="11"/>
        </w:numPr>
        <w:spacing w:after="120"/>
      </w:pPr>
      <w:r>
        <w:t xml:space="preserve">Link: </w:t>
      </w:r>
      <w:hyperlink r:id="rId24" w:history="1">
        <w:r w:rsidR="00A92864" w:rsidRPr="00434B40">
          <w:rPr>
            <w:rStyle w:val="Hyperlink"/>
          </w:rPr>
          <w:t>http://www.fleetresponse.org/wp-content/uploads/sites/2/2015/06/06-1-15-RMAG-FRWG-Engagement-Guidance-Final-tm.pdf</w:t>
        </w:r>
      </w:hyperlink>
      <w:r w:rsidR="00A92864">
        <w:t xml:space="preserve"> </w:t>
      </w:r>
    </w:p>
    <w:p w14:paraId="585040A4" w14:textId="77777777" w:rsidR="0083116D" w:rsidRPr="000A3E6E" w:rsidRDefault="0083116D" w:rsidP="0083116D">
      <w:pPr>
        <w:pStyle w:val="BodyText"/>
        <w:spacing w:after="120"/>
        <w:ind w:left="720"/>
      </w:pPr>
    </w:p>
    <w:p w14:paraId="3AF058DF" w14:textId="0B5C8FFF" w:rsidR="00A9519E" w:rsidRDefault="000A3E6E" w:rsidP="00883356">
      <w:pPr>
        <w:pStyle w:val="BodyText"/>
        <w:numPr>
          <w:ilvl w:val="0"/>
          <w:numId w:val="20"/>
        </w:numPr>
        <w:spacing w:after="120"/>
      </w:pPr>
      <w:r w:rsidRPr="000A3E6E">
        <w:t>US / Canadian Border Crossing Process</w:t>
      </w:r>
      <w:r w:rsidR="00883356">
        <w:t xml:space="preserve"> (PDF)</w:t>
      </w:r>
    </w:p>
    <w:p w14:paraId="32D233CD" w14:textId="702D6D85" w:rsidR="00FC307B" w:rsidRPr="0083116D" w:rsidRDefault="00D34E4C" w:rsidP="001670E3">
      <w:pPr>
        <w:pStyle w:val="BodyText"/>
        <w:numPr>
          <w:ilvl w:val="0"/>
          <w:numId w:val="11"/>
        </w:numPr>
        <w:spacing w:after="120"/>
        <w:rPr>
          <w:color w:val="002F80"/>
        </w:rPr>
      </w:pPr>
      <w:r>
        <w:lastRenderedPageBreak/>
        <w:t xml:space="preserve">Link: </w:t>
      </w:r>
      <w:hyperlink r:id="rId25" w:history="1">
        <w:r w:rsidRPr="00434B40">
          <w:rPr>
            <w:rStyle w:val="Hyperlink"/>
          </w:rPr>
          <w:t>http://www.fleetresponse.org/wp-content/uploads/sites/2/2014/07/07-03-13-USCANADA-BorderGuidance-Only.pdf</w:t>
        </w:r>
      </w:hyperlink>
      <w:r>
        <w:t xml:space="preserve"> </w:t>
      </w:r>
    </w:p>
    <w:p w14:paraId="153004E7" w14:textId="77777777" w:rsidR="00FC307B" w:rsidRDefault="00FC307B">
      <w:pPr>
        <w:spacing w:after="200" w:line="276" w:lineRule="auto"/>
        <w:rPr>
          <w:rFonts w:ascii="Arial" w:hAnsi="Arial" w:cs="Arial"/>
          <w:b/>
          <w:bCs/>
          <w:color w:val="002F80"/>
        </w:rPr>
      </w:pPr>
      <w:r>
        <w:rPr>
          <w:color w:val="002F80"/>
        </w:rPr>
        <w:br w:type="page"/>
      </w:r>
    </w:p>
    <w:p w14:paraId="258FB16D" w14:textId="16CF1B3D" w:rsidR="00D34E4C" w:rsidRPr="00CF5952" w:rsidRDefault="00460042" w:rsidP="00CF5952">
      <w:pPr>
        <w:pStyle w:val="Heading3"/>
        <w:spacing w:before="0" w:after="120"/>
        <w:rPr>
          <w:color w:val="002F80"/>
        </w:rPr>
      </w:pPr>
      <w:r>
        <w:rPr>
          <w:color w:val="002F80"/>
        </w:rPr>
        <w:lastRenderedPageBreak/>
        <w:t>Educational Websites &amp; Information</w:t>
      </w:r>
    </w:p>
    <w:p w14:paraId="154A63B5" w14:textId="77777777" w:rsidR="00BA23EF" w:rsidRDefault="00BA23EF" w:rsidP="00CF5952">
      <w:pPr>
        <w:pStyle w:val="BodyText"/>
        <w:spacing w:after="120"/>
      </w:pPr>
    </w:p>
    <w:p w14:paraId="542AFC37" w14:textId="6096D3DB" w:rsidR="00D34E4C" w:rsidRPr="00BA23EF" w:rsidRDefault="00D34E4C" w:rsidP="00BA23EF">
      <w:pPr>
        <w:pStyle w:val="BodyText"/>
        <w:numPr>
          <w:ilvl w:val="0"/>
          <w:numId w:val="24"/>
        </w:numPr>
        <w:spacing w:after="120"/>
        <w:rPr>
          <w:b/>
          <w:u w:val="single"/>
        </w:rPr>
      </w:pPr>
      <w:r w:rsidRPr="00BA23EF">
        <w:rPr>
          <w:b/>
          <w:u w:val="single"/>
        </w:rPr>
        <w:t>All Hazards Consortium</w:t>
      </w:r>
      <w:r w:rsidR="00BA23EF" w:rsidRPr="00BA23EF">
        <w:rPr>
          <w:b/>
          <w:u w:val="single"/>
        </w:rPr>
        <w:t xml:space="preserve"> Website</w:t>
      </w:r>
    </w:p>
    <w:p w14:paraId="6C648ED8" w14:textId="6155879A" w:rsidR="000A3E6E" w:rsidRPr="00D34E4C" w:rsidRDefault="00D34E4C" w:rsidP="00CF5952">
      <w:pPr>
        <w:pStyle w:val="BodyText"/>
        <w:numPr>
          <w:ilvl w:val="0"/>
          <w:numId w:val="11"/>
        </w:numPr>
        <w:spacing w:after="120"/>
      </w:pPr>
      <w:r>
        <w:t xml:space="preserve">Link: </w:t>
      </w:r>
      <w:hyperlink r:id="rId26" w:history="1">
        <w:r w:rsidR="000A3E6E" w:rsidRPr="00D34E4C">
          <w:rPr>
            <w:rStyle w:val="Hyperlink"/>
          </w:rPr>
          <w:t>www.ahcusa.org</w:t>
        </w:r>
      </w:hyperlink>
    </w:p>
    <w:p w14:paraId="5D7C2DBC" w14:textId="77777777" w:rsidR="00460042" w:rsidRDefault="00460042" w:rsidP="00CF5952">
      <w:pPr>
        <w:pStyle w:val="BodyText"/>
        <w:spacing w:after="120"/>
      </w:pPr>
    </w:p>
    <w:p w14:paraId="1338F0F0" w14:textId="38773933" w:rsidR="001E545F" w:rsidRPr="00BA23EF" w:rsidRDefault="001E545F" w:rsidP="00BA23EF">
      <w:pPr>
        <w:pStyle w:val="BodyText"/>
        <w:numPr>
          <w:ilvl w:val="0"/>
          <w:numId w:val="24"/>
        </w:numPr>
        <w:spacing w:after="120"/>
        <w:rPr>
          <w:b/>
          <w:u w:val="single"/>
        </w:rPr>
      </w:pPr>
      <w:r w:rsidRPr="00BA23EF">
        <w:rPr>
          <w:b/>
          <w:u w:val="single"/>
        </w:rPr>
        <w:t>Multi-State Fleet Response</w:t>
      </w:r>
      <w:r w:rsidR="00AD2347" w:rsidRPr="00BA23EF">
        <w:rPr>
          <w:b/>
          <w:u w:val="single"/>
        </w:rPr>
        <w:t xml:space="preserve"> Working Group</w:t>
      </w:r>
      <w:r w:rsidR="00BA23EF" w:rsidRPr="00BA23EF">
        <w:rPr>
          <w:b/>
          <w:u w:val="single"/>
        </w:rPr>
        <w:t xml:space="preserve"> Website</w:t>
      </w:r>
    </w:p>
    <w:p w14:paraId="68C8ED1A" w14:textId="5A9BF4A7" w:rsidR="000A3E6E" w:rsidRPr="000A3E6E" w:rsidRDefault="001E545F" w:rsidP="00CF5952">
      <w:pPr>
        <w:pStyle w:val="BodyText"/>
        <w:numPr>
          <w:ilvl w:val="0"/>
          <w:numId w:val="11"/>
        </w:numPr>
        <w:spacing w:after="120"/>
      </w:pPr>
      <w:r>
        <w:t xml:space="preserve">Main </w:t>
      </w:r>
      <w:r w:rsidR="00AD2347">
        <w:t>web</w:t>
      </w:r>
      <w:r>
        <w:t xml:space="preserve">page link: </w:t>
      </w:r>
      <w:hyperlink r:id="rId27" w:history="1">
        <w:r w:rsidR="000A3E6E" w:rsidRPr="000A3E6E">
          <w:rPr>
            <w:rStyle w:val="Hyperlink"/>
          </w:rPr>
          <w:t>www.fleetresponse.org</w:t>
        </w:r>
      </w:hyperlink>
    </w:p>
    <w:p w14:paraId="7F3CE95D" w14:textId="77777777" w:rsidR="000A3E6E" w:rsidRDefault="000A3E6E" w:rsidP="00CF5952">
      <w:pPr>
        <w:pStyle w:val="BodyText"/>
        <w:numPr>
          <w:ilvl w:val="0"/>
          <w:numId w:val="10"/>
        </w:numPr>
        <w:spacing w:after="120"/>
      </w:pPr>
      <w:r w:rsidRPr="000A3E6E">
        <w:t xml:space="preserve">Disaster Response Tools - </w:t>
      </w:r>
      <w:hyperlink r:id="rId28" w:history="1">
        <w:r w:rsidRPr="000A3E6E">
          <w:rPr>
            <w:rStyle w:val="Hyperlink"/>
          </w:rPr>
          <w:t>http://www.fleetresponse.org/resources/hurricane-season/</w:t>
        </w:r>
      </w:hyperlink>
      <w:r w:rsidRPr="000A3E6E">
        <w:t xml:space="preserve"> </w:t>
      </w:r>
    </w:p>
    <w:p w14:paraId="66327C13" w14:textId="0EB95E3D" w:rsidR="00153843" w:rsidRDefault="00153843" w:rsidP="00CF5952">
      <w:pPr>
        <w:pStyle w:val="BodyText"/>
        <w:numPr>
          <w:ilvl w:val="0"/>
          <w:numId w:val="10"/>
        </w:numPr>
        <w:spacing w:after="120"/>
      </w:pPr>
      <w:r>
        <w:t>SISE Working Group Website:</w:t>
      </w:r>
      <w:r w:rsidR="00AD2347">
        <w:t xml:space="preserve"> </w:t>
      </w:r>
      <w:hyperlink r:id="rId29" w:history="1">
        <w:r w:rsidR="00AD2347" w:rsidRPr="00DF1C3D">
          <w:rPr>
            <w:rStyle w:val="Hyperlink"/>
          </w:rPr>
          <w:t>www.fleetcyberid.org</w:t>
        </w:r>
      </w:hyperlink>
    </w:p>
    <w:p w14:paraId="3F356491" w14:textId="5104658B" w:rsidR="000A3E6E" w:rsidRDefault="001E545F" w:rsidP="00BA23EF">
      <w:pPr>
        <w:pStyle w:val="BodyText"/>
        <w:numPr>
          <w:ilvl w:val="0"/>
          <w:numId w:val="10"/>
        </w:numPr>
        <w:spacing w:after="120"/>
      </w:pPr>
      <w:r w:rsidRPr="001E545F">
        <w:t xml:space="preserve">The CATEX </w:t>
      </w:r>
      <w:r w:rsidR="00BA23EF">
        <w:t xml:space="preserve">2016 </w:t>
      </w:r>
      <w:r w:rsidRPr="001E545F">
        <w:t>Annual Exercise Series</w:t>
      </w:r>
      <w:r>
        <w:t xml:space="preserve"> link: </w:t>
      </w:r>
      <w:hyperlink r:id="rId30" w:history="1">
        <w:r w:rsidR="00BA23EF" w:rsidRPr="00AA12E5">
          <w:rPr>
            <w:rStyle w:val="Hyperlink"/>
          </w:rPr>
          <w:t>http://www.fleetresponse.org/productsservices/annual-exercise/catex-2016/</w:t>
        </w:r>
      </w:hyperlink>
    </w:p>
    <w:p w14:paraId="1D4DEABA" w14:textId="77777777" w:rsidR="00BA23EF" w:rsidRPr="000A3E6E" w:rsidRDefault="00BA23EF" w:rsidP="00BA23EF">
      <w:pPr>
        <w:pStyle w:val="BodyText"/>
        <w:spacing w:after="120"/>
        <w:ind w:left="720"/>
      </w:pPr>
    </w:p>
    <w:p w14:paraId="5D2C5EFE" w14:textId="3CE2C6E5" w:rsidR="00BA23EF" w:rsidRPr="00CF5952" w:rsidRDefault="00BA23EF" w:rsidP="00BA23EF">
      <w:pPr>
        <w:pStyle w:val="Heading3"/>
        <w:spacing w:before="0" w:after="120"/>
        <w:rPr>
          <w:color w:val="002F80"/>
        </w:rPr>
      </w:pPr>
      <w:r>
        <w:rPr>
          <w:color w:val="002F80"/>
        </w:rPr>
        <w:t>CATEX 2016 Educational Video &amp; Training Website</w:t>
      </w:r>
    </w:p>
    <w:p w14:paraId="3B4F8E78" w14:textId="57A53E08" w:rsidR="00BA23EF" w:rsidRDefault="00BA23EF" w:rsidP="001E545F">
      <w:pPr>
        <w:pStyle w:val="BodyText"/>
        <w:spacing w:before="120" w:after="120"/>
      </w:pPr>
    </w:p>
    <w:p w14:paraId="05DDEC37" w14:textId="52063778" w:rsidR="00BA23EF" w:rsidRPr="00187EC6" w:rsidRDefault="00BA23EF" w:rsidP="00BA23EF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u w:val="single"/>
        </w:rPr>
      </w:pPr>
      <w:r w:rsidRPr="00187EC6">
        <w:rPr>
          <w:rFonts w:ascii="Times New Roman" w:hAnsi="Times New Roman" w:cs="Times New Roman"/>
          <w:b/>
          <w:u w:val="single"/>
        </w:rPr>
        <w:t>CATEX 2016 Education Website</w:t>
      </w:r>
    </w:p>
    <w:p w14:paraId="188693DD" w14:textId="3233DF23" w:rsidR="00187EC6" w:rsidRPr="00187EC6" w:rsidRDefault="00187EC6" w:rsidP="00187EC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FF"/>
          <w:u w:val="single"/>
        </w:rPr>
      </w:pPr>
      <w:r>
        <w:t xml:space="preserve">Link: </w:t>
      </w:r>
      <w:hyperlink r:id="rId31" w:history="1">
        <w:r w:rsidRPr="00187EC6">
          <w:rPr>
            <w:rStyle w:val="Hyperlink"/>
            <w:rFonts w:ascii="Times New Roman" w:hAnsi="Times New Roman" w:cs="Times New Roman"/>
          </w:rPr>
          <w:t>http://www.ahcusa.org/catex-2016-education.html</w:t>
        </w:r>
      </w:hyperlink>
    </w:p>
    <w:sectPr w:rsidR="00187EC6" w:rsidRPr="00187EC6" w:rsidSect="00F87E80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D1F2" w14:textId="77777777" w:rsidR="00275A56" w:rsidRDefault="00275A56" w:rsidP="00116D48">
      <w:r>
        <w:separator/>
      </w:r>
    </w:p>
  </w:endnote>
  <w:endnote w:type="continuationSeparator" w:id="0">
    <w:p w14:paraId="5B96F50D" w14:textId="77777777" w:rsidR="00275A56" w:rsidRDefault="00275A56" w:rsidP="0011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8AD7" w14:textId="000DD13D" w:rsidR="00557FAC" w:rsidRPr="00B47C7F" w:rsidRDefault="00892683" w:rsidP="00790B7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2F80"/>
      </w:rPr>
    </w:pPr>
    <w:r w:rsidRPr="00B47C7F">
      <w:rPr>
        <w:color w:val="002F80"/>
      </w:rPr>
      <w:t>Exercise Overview</w:t>
    </w:r>
    <w:r w:rsidRPr="00B47C7F">
      <w:rPr>
        <w:color w:val="002F80"/>
      </w:rPr>
      <w:tab/>
    </w:r>
    <w:r w:rsidRPr="00B47C7F">
      <w:rPr>
        <w:rStyle w:val="PageNumber"/>
        <w:b w:val="0"/>
        <w:color w:val="002F80"/>
      </w:rPr>
      <w:fldChar w:fldCharType="begin"/>
    </w:r>
    <w:r w:rsidRPr="00B47C7F">
      <w:rPr>
        <w:rStyle w:val="PageNumber"/>
        <w:b w:val="0"/>
        <w:color w:val="002F80"/>
      </w:rPr>
      <w:instrText xml:space="preserve"> PAGE </w:instrText>
    </w:r>
    <w:r w:rsidRPr="00B47C7F">
      <w:rPr>
        <w:rStyle w:val="PageNumber"/>
        <w:b w:val="0"/>
        <w:color w:val="002F80"/>
      </w:rPr>
      <w:fldChar w:fldCharType="separate"/>
    </w:r>
    <w:r w:rsidR="0052333A">
      <w:rPr>
        <w:rStyle w:val="PageNumber"/>
        <w:b w:val="0"/>
        <w:noProof/>
        <w:color w:val="002F80"/>
      </w:rPr>
      <w:t>2</w:t>
    </w:r>
    <w:r w:rsidRPr="00B47C7F">
      <w:rPr>
        <w:rStyle w:val="PageNumber"/>
        <w:b w:val="0"/>
        <w:color w:val="002F80"/>
      </w:rPr>
      <w:fldChar w:fldCharType="end"/>
    </w:r>
    <w:r w:rsidRPr="00B47C7F">
      <w:rPr>
        <w:rStyle w:val="PageNumber"/>
        <w:b w:val="0"/>
        <w:color w:val="002F80"/>
      </w:rPr>
      <w:tab/>
    </w:r>
    <w:r w:rsidR="00557FAC" w:rsidRPr="00B47C7F">
      <w:rPr>
        <w:rStyle w:val="PageNumber"/>
        <w:color w:val="002F80"/>
      </w:rPr>
      <w:t>AHC / FRWG</w:t>
    </w:r>
  </w:p>
  <w:p w14:paraId="0104D6E8" w14:textId="530C5771" w:rsidR="00892683" w:rsidRPr="00B47C7F" w:rsidRDefault="00892683" w:rsidP="00557FAC">
    <w:pPr>
      <w:pStyle w:val="Header"/>
      <w:pBdr>
        <w:top w:val="single" w:sz="8" w:space="1" w:color="000080"/>
      </w:pBdr>
      <w:tabs>
        <w:tab w:val="center" w:pos="4680"/>
      </w:tabs>
      <w:rPr>
        <w:b w:val="0"/>
        <w:smallCaps/>
        <w:color w:val="002F80"/>
        <w:sz w:val="18"/>
        <w:szCs w:val="18"/>
      </w:rPr>
    </w:pPr>
    <w:r w:rsidRPr="00B47C7F">
      <w:rPr>
        <w:rStyle w:val="PageNumber"/>
        <w:color w:val="002F80"/>
      </w:rPr>
      <w:tab/>
    </w:r>
    <w:r w:rsidR="00557FAC" w:rsidRPr="00B47C7F">
      <w:rPr>
        <w:rStyle w:val="PageNumber"/>
        <w:b w:val="0"/>
        <w:smallCaps/>
        <w:color w:val="002F80"/>
        <w:sz w:val="18"/>
        <w:szCs w:val="18"/>
      </w:rPr>
      <w:t>For Trusted Agents Only</w:t>
    </w:r>
    <w:r w:rsidR="007822FC">
      <w:rPr>
        <w:rStyle w:val="PageNumber"/>
        <w:b w:val="0"/>
        <w:smallCaps/>
        <w:color w:val="002F80"/>
        <w:sz w:val="18"/>
        <w:szCs w:val="18"/>
      </w:rPr>
      <w:tab/>
    </w:r>
    <w:r w:rsidR="007822FC" w:rsidRPr="008421E1">
      <w:rPr>
        <w:rStyle w:val="PageNumber"/>
        <w:smallCaps/>
        <w:color w:val="002F80"/>
      </w:rPr>
      <w:t>DHS NPPD / 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CA8E" w14:textId="77777777" w:rsidR="00275A56" w:rsidRDefault="00275A56" w:rsidP="00116D48">
      <w:r>
        <w:separator/>
      </w:r>
    </w:p>
  </w:footnote>
  <w:footnote w:type="continuationSeparator" w:id="0">
    <w:p w14:paraId="52E2C16E" w14:textId="77777777" w:rsidR="00275A56" w:rsidRDefault="00275A56" w:rsidP="0011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D41A" w14:textId="306E9844" w:rsidR="00892683" w:rsidRPr="00B47C7F" w:rsidRDefault="006C4146" w:rsidP="00AB7F4A">
    <w:pPr>
      <w:pStyle w:val="Header"/>
      <w:rPr>
        <w:color w:val="002F80"/>
      </w:rPr>
    </w:pPr>
    <w:r w:rsidRPr="00B47C7F">
      <w:rPr>
        <w:color w:val="002F80"/>
      </w:rPr>
      <w:t>Read-Ahead</w:t>
    </w:r>
    <w:r w:rsidR="00892683" w:rsidRPr="00B47C7F">
      <w:rPr>
        <w:color w:val="002F80"/>
      </w:rPr>
      <w:tab/>
    </w:r>
    <w:r w:rsidR="00076C17" w:rsidRPr="00B47C7F">
      <w:rPr>
        <w:color w:val="002F80"/>
      </w:rPr>
      <w:t>CATEX 2016</w:t>
    </w:r>
  </w:p>
  <w:p w14:paraId="3C62BA71" w14:textId="543595DC" w:rsidR="00892683" w:rsidRPr="00B47C7F" w:rsidRDefault="00892683" w:rsidP="00AB7F4A">
    <w:pPr>
      <w:pStyle w:val="Header"/>
      <w:pBdr>
        <w:bottom w:val="single" w:sz="4" w:space="1" w:color="000080"/>
      </w:pBdr>
      <w:spacing w:after="120"/>
      <w:rPr>
        <w:color w:val="002F80"/>
      </w:rPr>
    </w:pPr>
    <w:r w:rsidRPr="00B47C7F">
      <w:rPr>
        <w:color w:val="002F80"/>
        <w:szCs w:val="12"/>
      </w:rPr>
      <w:tab/>
      <w:t>Functional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9"/>
    <w:multiLevelType w:val="singleLevel"/>
    <w:tmpl w:val="2058520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F80"/>
      </w:rPr>
    </w:lvl>
  </w:abstractNum>
  <w:abstractNum w:abstractNumId="2" w15:restartNumberingAfterBreak="0">
    <w:nsid w:val="01971E20"/>
    <w:multiLevelType w:val="hybridMultilevel"/>
    <w:tmpl w:val="268C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51B30"/>
    <w:multiLevelType w:val="hybridMultilevel"/>
    <w:tmpl w:val="5B3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E60E0"/>
    <w:multiLevelType w:val="hybridMultilevel"/>
    <w:tmpl w:val="67B6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14A8"/>
    <w:multiLevelType w:val="hybridMultilevel"/>
    <w:tmpl w:val="6E147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14214"/>
    <w:multiLevelType w:val="hybridMultilevel"/>
    <w:tmpl w:val="CB7E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F7BA1"/>
    <w:multiLevelType w:val="hybridMultilevel"/>
    <w:tmpl w:val="21CE5094"/>
    <w:lvl w:ilvl="0" w:tplc="72A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E2CC1"/>
    <w:multiLevelType w:val="hybridMultilevel"/>
    <w:tmpl w:val="3B34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F39B2"/>
    <w:multiLevelType w:val="hybridMultilevel"/>
    <w:tmpl w:val="C11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622"/>
    <w:multiLevelType w:val="hybridMultilevel"/>
    <w:tmpl w:val="97F8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5A79"/>
    <w:multiLevelType w:val="hybridMultilevel"/>
    <w:tmpl w:val="EAB83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86441"/>
    <w:multiLevelType w:val="hybridMultilevel"/>
    <w:tmpl w:val="F7AE7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A3B6E"/>
    <w:multiLevelType w:val="hybridMultilevel"/>
    <w:tmpl w:val="7FCE8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B53D7D"/>
    <w:multiLevelType w:val="hybridMultilevel"/>
    <w:tmpl w:val="565A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5625D"/>
    <w:multiLevelType w:val="hybridMultilevel"/>
    <w:tmpl w:val="94C4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666"/>
    <w:multiLevelType w:val="hybridMultilevel"/>
    <w:tmpl w:val="D0223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92A45"/>
    <w:multiLevelType w:val="hybridMultilevel"/>
    <w:tmpl w:val="3B22D14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A162AE3"/>
    <w:multiLevelType w:val="hybridMultilevel"/>
    <w:tmpl w:val="F3E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01E"/>
    <w:multiLevelType w:val="hybridMultilevel"/>
    <w:tmpl w:val="6B72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6247"/>
    <w:multiLevelType w:val="hybridMultilevel"/>
    <w:tmpl w:val="25E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9"/>
  </w:num>
  <w:num w:numId="5">
    <w:abstractNumId w:val="18"/>
  </w:num>
  <w:num w:numId="6">
    <w:abstractNumId w:val="5"/>
  </w:num>
  <w:num w:numId="7">
    <w:abstractNumId w:val="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3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21"/>
  </w:num>
  <w:num w:numId="19">
    <w:abstractNumId w:val="3"/>
  </w:num>
  <w:num w:numId="20">
    <w:abstractNumId w:val="12"/>
  </w:num>
  <w:num w:numId="21">
    <w:abstractNumId w:val="10"/>
  </w:num>
  <w:num w:numId="22">
    <w:abstractNumId w:val="6"/>
  </w:num>
  <w:num w:numId="23">
    <w:abstractNumId w:val="17"/>
  </w:num>
  <w:num w:numId="24">
    <w:abstractNumId w:val="7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8"/>
    <w:rsid w:val="00002EA1"/>
    <w:rsid w:val="00011F2A"/>
    <w:rsid w:val="0001532C"/>
    <w:rsid w:val="0003069C"/>
    <w:rsid w:val="00033916"/>
    <w:rsid w:val="00035002"/>
    <w:rsid w:val="00040130"/>
    <w:rsid w:val="0004441B"/>
    <w:rsid w:val="00060BC8"/>
    <w:rsid w:val="00076C17"/>
    <w:rsid w:val="00077929"/>
    <w:rsid w:val="000824FA"/>
    <w:rsid w:val="000866B9"/>
    <w:rsid w:val="000866C7"/>
    <w:rsid w:val="0009092C"/>
    <w:rsid w:val="000921C0"/>
    <w:rsid w:val="00095130"/>
    <w:rsid w:val="000A2E15"/>
    <w:rsid w:val="000A3E6E"/>
    <w:rsid w:val="000A6B8D"/>
    <w:rsid w:val="000B7A9A"/>
    <w:rsid w:val="000C0C08"/>
    <w:rsid w:val="000C1176"/>
    <w:rsid w:val="000C5026"/>
    <w:rsid w:val="000D36A3"/>
    <w:rsid w:val="000E5C1B"/>
    <w:rsid w:val="000F458B"/>
    <w:rsid w:val="001038E6"/>
    <w:rsid w:val="00115EAB"/>
    <w:rsid w:val="00116D48"/>
    <w:rsid w:val="001263EA"/>
    <w:rsid w:val="00126A4C"/>
    <w:rsid w:val="00134781"/>
    <w:rsid w:val="00142832"/>
    <w:rsid w:val="00144D60"/>
    <w:rsid w:val="00153843"/>
    <w:rsid w:val="001655DA"/>
    <w:rsid w:val="00167858"/>
    <w:rsid w:val="001707F7"/>
    <w:rsid w:val="001859DE"/>
    <w:rsid w:val="00187EC6"/>
    <w:rsid w:val="001963C3"/>
    <w:rsid w:val="001A27A6"/>
    <w:rsid w:val="001B5824"/>
    <w:rsid w:val="001B71A4"/>
    <w:rsid w:val="001C2497"/>
    <w:rsid w:val="001C4C49"/>
    <w:rsid w:val="001D4ECD"/>
    <w:rsid w:val="001D50D7"/>
    <w:rsid w:val="001D5B88"/>
    <w:rsid w:val="001D7B39"/>
    <w:rsid w:val="001E0A46"/>
    <w:rsid w:val="001E12FA"/>
    <w:rsid w:val="001E545F"/>
    <w:rsid w:val="001F71A0"/>
    <w:rsid w:val="00204EAB"/>
    <w:rsid w:val="00212E69"/>
    <w:rsid w:val="0024424A"/>
    <w:rsid w:val="00246A8D"/>
    <w:rsid w:val="002518F6"/>
    <w:rsid w:val="002732DC"/>
    <w:rsid w:val="00275A56"/>
    <w:rsid w:val="002A0096"/>
    <w:rsid w:val="002A1512"/>
    <w:rsid w:val="002A3400"/>
    <w:rsid w:val="002A5A3D"/>
    <w:rsid w:val="002A5D80"/>
    <w:rsid w:val="002B2631"/>
    <w:rsid w:val="002B3E1C"/>
    <w:rsid w:val="002B4F51"/>
    <w:rsid w:val="002C5715"/>
    <w:rsid w:val="002D13B0"/>
    <w:rsid w:val="002D24E3"/>
    <w:rsid w:val="002D331B"/>
    <w:rsid w:val="002F0A2D"/>
    <w:rsid w:val="002F28FA"/>
    <w:rsid w:val="00300313"/>
    <w:rsid w:val="0031563A"/>
    <w:rsid w:val="003369C3"/>
    <w:rsid w:val="00340A15"/>
    <w:rsid w:val="00353EF9"/>
    <w:rsid w:val="00360A30"/>
    <w:rsid w:val="003662F5"/>
    <w:rsid w:val="0037307F"/>
    <w:rsid w:val="003757DC"/>
    <w:rsid w:val="003760B7"/>
    <w:rsid w:val="003844AE"/>
    <w:rsid w:val="00387308"/>
    <w:rsid w:val="003A6A3A"/>
    <w:rsid w:val="003B5587"/>
    <w:rsid w:val="003B69BE"/>
    <w:rsid w:val="003D2E0C"/>
    <w:rsid w:val="003D378B"/>
    <w:rsid w:val="0040190F"/>
    <w:rsid w:val="004059FE"/>
    <w:rsid w:val="004206FC"/>
    <w:rsid w:val="00426ADB"/>
    <w:rsid w:val="0043105D"/>
    <w:rsid w:val="0043139D"/>
    <w:rsid w:val="00452717"/>
    <w:rsid w:val="00454188"/>
    <w:rsid w:val="00460042"/>
    <w:rsid w:val="00460A13"/>
    <w:rsid w:val="00474859"/>
    <w:rsid w:val="00491B02"/>
    <w:rsid w:val="0049639C"/>
    <w:rsid w:val="004A7377"/>
    <w:rsid w:val="004B7D16"/>
    <w:rsid w:val="004C2700"/>
    <w:rsid w:val="004D3C47"/>
    <w:rsid w:val="004E06A2"/>
    <w:rsid w:val="004E2A71"/>
    <w:rsid w:val="004E2F7D"/>
    <w:rsid w:val="004F110B"/>
    <w:rsid w:val="004F326C"/>
    <w:rsid w:val="004F532B"/>
    <w:rsid w:val="004F7DD4"/>
    <w:rsid w:val="005018E2"/>
    <w:rsid w:val="00507C55"/>
    <w:rsid w:val="005203E2"/>
    <w:rsid w:val="0052333A"/>
    <w:rsid w:val="0052469F"/>
    <w:rsid w:val="00532F4E"/>
    <w:rsid w:val="00535E55"/>
    <w:rsid w:val="00546A4E"/>
    <w:rsid w:val="00550476"/>
    <w:rsid w:val="00557FAC"/>
    <w:rsid w:val="00563FA2"/>
    <w:rsid w:val="00564392"/>
    <w:rsid w:val="005646F0"/>
    <w:rsid w:val="0057272B"/>
    <w:rsid w:val="00576061"/>
    <w:rsid w:val="005A2A8E"/>
    <w:rsid w:val="005B7958"/>
    <w:rsid w:val="005C694B"/>
    <w:rsid w:val="005D3002"/>
    <w:rsid w:val="00614F57"/>
    <w:rsid w:val="00624786"/>
    <w:rsid w:val="0062551D"/>
    <w:rsid w:val="00640C02"/>
    <w:rsid w:val="00650C46"/>
    <w:rsid w:val="0065212B"/>
    <w:rsid w:val="00652A8F"/>
    <w:rsid w:val="00657735"/>
    <w:rsid w:val="00666F44"/>
    <w:rsid w:val="006712F1"/>
    <w:rsid w:val="0067682E"/>
    <w:rsid w:val="00686C75"/>
    <w:rsid w:val="00691479"/>
    <w:rsid w:val="0069272E"/>
    <w:rsid w:val="006A36C7"/>
    <w:rsid w:val="006A52E5"/>
    <w:rsid w:val="006B77D2"/>
    <w:rsid w:val="006C4146"/>
    <w:rsid w:val="006E197E"/>
    <w:rsid w:val="006E2308"/>
    <w:rsid w:val="006E6BD6"/>
    <w:rsid w:val="00701D12"/>
    <w:rsid w:val="00712E7B"/>
    <w:rsid w:val="007210E9"/>
    <w:rsid w:val="00723A64"/>
    <w:rsid w:val="007301EF"/>
    <w:rsid w:val="0073363E"/>
    <w:rsid w:val="00735C47"/>
    <w:rsid w:val="00761AB5"/>
    <w:rsid w:val="007640BE"/>
    <w:rsid w:val="00764D90"/>
    <w:rsid w:val="007822FC"/>
    <w:rsid w:val="00790B7B"/>
    <w:rsid w:val="007A0C0B"/>
    <w:rsid w:val="007A52EB"/>
    <w:rsid w:val="007B0F38"/>
    <w:rsid w:val="007D040F"/>
    <w:rsid w:val="007E6432"/>
    <w:rsid w:val="007E7D85"/>
    <w:rsid w:val="007F061B"/>
    <w:rsid w:val="007F439D"/>
    <w:rsid w:val="007F4CA6"/>
    <w:rsid w:val="007F5968"/>
    <w:rsid w:val="008031B4"/>
    <w:rsid w:val="008047EC"/>
    <w:rsid w:val="00823017"/>
    <w:rsid w:val="0083116D"/>
    <w:rsid w:val="00847095"/>
    <w:rsid w:val="00861782"/>
    <w:rsid w:val="00867392"/>
    <w:rsid w:val="0088027D"/>
    <w:rsid w:val="00883356"/>
    <w:rsid w:val="00886968"/>
    <w:rsid w:val="0088732D"/>
    <w:rsid w:val="00891545"/>
    <w:rsid w:val="0089158E"/>
    <w:rsid w:val="00892683"/>
    <w:rsid w:val="008A2B21"/>
    <w:rsid w:val="008A3B59"/>
    <w:rsid w:val="008A4BA0"/>
    <w:rsid w:val="008B6D79"/>
    <w:rsid w:val="008C434E"/>
    <w:rsid w:val="008C6243"/>
    <w:rsid w:val="008D007D"/>
    <w:rsid w:val="008D3F68"/>
    <w:rsid w:val="008D6580"/>
    <w:rsid w:val="008E6C03"/>
    <w:rsid w:val="008E7380"/>
    <w:rsid w:val="008F54C3"/>
    <w:rsid w:val="008F7FCB"/>
    <w:rsid w:val="00901E5F"/>
    <w:rsid w:val="009249A6"/>
    <w:rsid w:val="00925171"/>
    <w:rsid w:val="00926D13"/>
    <w:rsid w:val="00941F51"/>
    <w:rsid w:val="009434EB"/>
    <w:rsid w:val="009537A1"/>
    <w:rsid w:val="00981093"/>
    <w:rsid w:val="009866B5"/>
    <w:rsid w:val="009947AE"/>
    <w:rsid w:val="00996B02"/>
    <w:rsid w:val="00996EAC"/>
    <w:rsid w:val="009A7E5B"/>
    <w:rsid w:val="009D11D2"/>
    <w:rsid w:val="009E09D2"/>
    <w:rsid w:val="009E4097"/>
    <w:rsid w:val="00A002A3"/>
    <w:rsid w:val="00A04D72"/>
    <w:rsid w:val="00A2751E"/>
    <w:rsid w:val="00A31051"/>
    <w:rsid w:val="00A343A4"/>
    <w:rsid w:val="00A3505C"/>
    <w:rsid w:val="00A4052A"/>
    <w:rsid w:val="00A41399"/>
    <w:rsid w:val="00A43A33"/>
    <w:rsid w:val="00A43D18"/>
    <w:rsid w:val="00A4611C"/>
    <w:rsid w:val="00A51FAB"/>
    <w:rsid w:val="00A55121"/>
    <w:rsid w:val="00A56F37"/>
    <w:rsid w:val="00A74951"/>
    <w:rsid w:val="00A75CDD"/>
    <w:rsid w:val="00A83003"/>
    <w:rsid w:val="00A84281"/>
    <w:rsid w:val="00A8612B"/>
    <w:rsid w:val="00A869D1"/>
    <w:rsid w:val="00A8708E"/>
    <w:rsid w:val="00A92864"/>
    <w:rsid w:val="00A930AC"/>
    <w:rsid w:val="00A9519E"/>
    <w:rsid w:val="00A96C03"/>
    <w:rsid w:val="00AA2AE6"/>
    <w:rsid w:val="00AA5AE1"/>
    <w:rsid w:val="00AA6F8B"/>
    <w:rsid w:val="00AB7F4A"/>
    <w:rsid w:val="00AD2347"/>
    <w:rsid w:val="00AE44B3"/>
    <w:rsid w:val="00AF368F"/>
    <w:rsid w:val="00AF75DC"/>
    <w:rsid w:val="00B151A1"/>
    <w:rsid w:val="00B1767F"/>
    <w:rsid w:val="00B177F6"/>
    <w:rsid w:val="00B2586E"/>
    <w:rsid w:val="00B41A9C"/>
    <w:rsid w:val="00B47C7F"/>
    <w:rsid w:val="00B60E72"/>
    <w:rsid w:val="00B628D4"/>
    <w:rsid w:val="00B67734"/>
    <w:rsid w:val="00B84C72"/>
    <w:rsid w:val="00B94968"/>
    <w:rsid w:val="00B94C93"/>
    <w:rsid w:val="00B958C2"/>
    <w:rsid w:val="00B95D87"/>
    <w:rsid w:val="00BA1852"/>
    <w:rsid w:val="00BA20FC"/>
    <w:rsid w:val="00BA23EF"/>
    <w:rsid w:val="00BA6CB4"/>
    <w:rsid w:val="00BB0E22"/>
    <w:rsid w:val="00BC453F"/>
    <w:rsid w:val="00BD00B8"/>
    <w:rsid w:val="00BD0631"/>
    <w:rsid w:val="00BD0CE7"/>
    <w:rsid w:val="00BD7E74"/>
    <w:rsid w:val="00BE5755"/>
    <w:rsid w:val="00BE6309"/>
    <w:rsid w:val="00C00CAA"/>
    <w:rsid w:val="00C02C84"/>
    <w:rsid w:val="00C15EBF"/>
    <w:rsid w:val="00C23B3C"/>
    <w:rsid w:val="00C3512A"/>
    <w:rsid w:val="00C407EC"/>
    <w:rsid w:val="00C441BD"/>
    <w:rsid w:val="00C46D0E"/>
    <w:rsid w:val="00C47820"/>
    <w:rsid w:val="00C66277"/>
    <w:rsid w:val="00C70827"/>
    <w:rsid w:val="00C76BAA"/>
    <w:rsid w:val="00C86799"/>
    <w:rsid w:val="00C86D4E"/>
    <w:rsid w:val="00C94561"/>
    <w:rsid w:val="00CB2B1F"/>
    <w:rsid w:val="00CB31BD"/>
    <w:rsid w:val="00CC3647"/>
    <w:rsid w:val="00CD02DE"/>
    <w:rsid w:val="00CD1B1E"/>
    <w:rsid w:val="00CD3F6F"/>
    <w:rsid w:val="00CD45D0"/>
    <w:rsid w:val="00CE17A0"/>
    <w:rsid w:val="00CE3B51"/>
    <w:rsid w:val="00CE6D68"/>
    <w:rsid w:val="00CF0CC4"/>
    <w:rsid w:val="00CF5952"/>
    <w:rsid w:val="00CF6598"/>
    <w:rsid w:val="00CF65A7"/>
    <w:rsid w:val="00CF6EFC"/>
    <w:rsid w:val="00D060CD"/>
    <w:rsid w:val="00D106EF"/>
    <w:rsid w:val="00D14FDA"/>
    <w:rsid w:val="00D15B7A"/>
    <w:rsid w:val="00D16223"/>
    <w:rsid w:val="00D2256F"/>
    <w:rsid w:val="00D34E4C"/>
    <w:rsid w:val="00D40CCA"/>
    <w:rsid w:val="00D414B2"/>
    <w:rsid w:val="00D50DC9"/>
    <w:rsid w:val="00D52743"/>
    <w:rsid w:val="00D5532F"/>
    <w:rsid w:val="00D577E5"/>
    <w:rsid w:val="00D6119A"/>
    <w:rsid w:val="00D638CB"/>
    <w:rsid w:val="00D6702B"/>
    <w:rsid w:val="00D77190"/>
    <w:rsid w:val="00D80481"/>
    <w:rsid w:val="00D85BF5"/>
    <w:rsid w:val="00DA38CB"/>
    <w:rsid w:val="00DC0164"/>
    <w:rsid w:val="00DD3CEA"/>
    <w:rsid w:val="00E03E53"/>
    <w:rsid w:val="00E34D76"/>
    <w:rsid w:val="00E43215"/>
    <w:rsid w:val="00E47025"/>
    <w:rsid w:val="00E54D72"/>
    <w:rsid w:val="00E67130"/>
    <w:rsid w:val="00E84A01"/>
    <w:rsid w:val="00E85552"/>
    <w:rsid w:val="00E86819"/>
    <w:rsid w:val="00E941B7"/>
    <w:rsid w:val="00EB6214"/>
    <w:rsid w:val="00EC6B4E"/>
    <w:rsid w:val="00ED493B"/>
    <w:rsid w:val="00EE6EA3"/>
    <w:rsid w:val="00EE73FD"/>
    <w:rsid w:val="00EF2A3A"/>
    <w:rsid w:val="00EF3601"/>
    <w:rsid w:val="00EF44A1"/>
    <w:rsid w:val="00EF5B70"/>
    <w:rsid w:val="00F148CB"/>
    <w:rsid w:val="00F15968"/>
    <w:rsid w:val="00F16080"/>
    <w:rsid w:val="00F26E2B"/>
    <w:rsid w:val="00F30C2A"/>
    <w:rsid w:val="00F33C1A"/>
    <w:rsid w:val="00F42A7C"/>
    <w:rsid w:val="00F5464A"/>
    <w:rsid w:val="00F54B4C"/>
    <w:rsid w:val="00F559A9"/>
    <w:rsid w:val="00F6488F"/>
    <w:rsid w:val="00F701F5"/>
    <w:rsid w:val="00F87542"/>
    <w:rsid w:val="00F875F0"/>
    <w:rsid w:val="00F87E80"/>
    <w:rsid w:val="00F957ED"/>
    <w:rsid w:val="00FA6E07"/>
    <w:rsid w:val="00FB0F35"/>
    <w:rsid w:val="00FC307B"/>
    <w:rsid w:val="00FC3E0C"/>
    <w:rsid w:val="00FC4975"/>
    <w:rsid w:val="00FD1B24"/>
    <w:rsid w:val="00FD6365"/>
    <w:rsid w:val="00FE08E9"/>
    <w:rsid w:val="00FE2194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EDA9"/>
  <w15:docId w15:val="{447BEB51-C826-415F-A43D-24BBEBA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16D4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116D48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6D48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D48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116D48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16D48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002EA1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2F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rsid w:val="00116D48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116D48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4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</w:tbl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54B4C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4B4C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40130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Default">
    <w:name w:val="Default"/>
    <w:rsid w:val="00040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10E9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210E9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4059FE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6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907">
          <w:marLeft w:val="3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72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1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44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70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991">
          <w:marLeft w:val="3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15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7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00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306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03">
          <w:marLeft w:val="3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71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76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8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31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2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0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hcportal.skylinecsg.com/site/login" TargetMode="External"/><Relationship Id="rId18" Type="http://schemas.openxmlformats.org/officeDocument/2006/relationships/hyperlink" Target="https://frwg.geocollaborate.com/" TargetMode="External"/><Relationship Id="rId26" Type="http://schemas.openxmlformats.org/officeDocument/2006/relationships/hyperlink" Target="http://www.ahcus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hcusa.org/storm-centr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ents.constantcontact.com/register/event?llr=zbu8kubab&amp;oeidk=a07ecveqe520d43370c" TargetMode="External"/><Relationship Id="rId17" Type="http://schemas.openxmlformats.org/officeDocument/2006/relationships/hyperlink" Target="http://ahcportal.skylinecsg.com:90/" TargetMode="External"/><Relationship Id="rId25" Type="http://schemas.openxmlformats.org/officeDocument/2006/relationships/hyperlink" Target="http://www.fleetresponse.org/wp-content/uploads/sites/2/2014/07/07-03-13-USCANADA-BorderGuidance-Only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hcportal.skylinecsg.com/site/login" TargetMode="External"/><Relationship Id="rId20" Type="http://schemas.openxmlformats.org/officeDocument/2006/relationships/hyperlink" Target="http://www.fleetopenclosed.org" TargetMode="External"/><Relationship Id="rId29" Type="http://schemas.openxmlformats.org/officeDocument/2006/relationships/hyperlink" Target="http://www.fleetcyberi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fleetresponse.org/wp-content/uploads/sites/2/2015/06/06-1-15-RMAG-FRWG-Engagement-Guidance-Final-tm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fleetresponse.org/wp-content/uploads/sites/2/2014/07/Fleet_Movement_Coordination_Inititiative_Info_packet_7_3_2014.pdf" TargetMode="External"/><Relationship Id="rId28" Type="http://schemas.openxmlformats.org/officeDocument/2006/relationships/hyperlink" Target="http://www.fleetresponse.org/resources/hurricane-season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frwg.geocollaborate.com/offline/" TargetMode="External"/><Relationship Id="rId31" Type="http://schemas.openxmlformats.org/officeDocument/2006/relationships/hyperlink" Target="http://www.ahcusa.org/catex-2016-edu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leetresponse.org" TargetMode="External"/><Relationship Id="rId14" Type="http://schemas.openxmlformats.org/officeDocument/2006/relationships/hyperlink" Target="http://www.ahcusa.org/catex-2016-tools-tested.html" TargetMode="External"/><Relationship Id="rId22" Type="http://schemas.openxmlformats.org/officeDocument/2006/relationships/hyperlink" Target="http://www.fleetresponse.org/resources/hurricane-season/" TargetMode="External"/><Relationship Id="rId27" Type="http://schemas.openxmlformats.org/officeDocument/2006/relationships/hyperlink" Target="http://www.fleetresponse.org" TargetMode="External"/><Relationship Id="rId30" Type="http://schemas.openxmlformats.org/officeDocument/2006/relationships/hyperlink" Target="http://www.fleetresponse.org/productsservices/annual-exercise/catex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BBCD-E0E6-4A6D-8E6F-3D36FE2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creator>HSEEP Support Team</dc:creator>
  <cp:keywords>HSEEP, Template, Exercise Plan, ExPlan, Design and Development</cp:keywords>
  <cp:lastModifiedBy>Tom Moran</cp:lastModifiedBy>
  <cp:revision>3</cp:revision>
  <cp:lastPrinted>2012-11-05T15:32:00Z</cp:lastPrinted>
  <dcterms:created xsi:type="dcterms:W3CDTF">2016-07-20T15:25:00Z</dcterms:created>
  <dcterms:modified xsi:type="dcterms:W3CDTF">2016-08-02T11:34:00Z</dcterms:modified>
  <cp:category>Template</cp:category>
</cp:coreProperties>
</file>